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752" w:rsidRDefault="00417752" w:rsidP="00417752">
      <w:pPr>
        <w:jc w:val="center"/>
        <w:rPr>
          <w:rFonts w:ascii="ˎ̥" w:hAnsi="ˎ̥"/>
          <w:b/>
          <w:bCs/>
          <w:color w:val="13378B"/>
          <w:sz w:val="36"/>
          <w:szCs w:val="36"/>
        </w:rPr>
      </w:pPr>
    </w:p>
    <w:p w:rsidR="00417752" w:rsidRDefault="00417752" w:rsidP="00417752">
      <w:pPr>
        <w:jc w:val="center"/>
        <w:rPr>
          <w:rFonts w:ascii="ˎ̥" w:hAnsi="ˎ̥"/>
          <w:b/>
          <w:bCs/>
          <w:color w:val="13378B"/>
          <w:sz w:val="36"/>
          <w:szCs w:val="36"/>
        </w:rPr>
      </w:pPr>
    </w:p>
    <w:p w:rsidR="00417752" w:rsidRDefault="00417752" w:rsidP="00417752">
      <w:pPr>
        <w:jc w:val="center"/>
        <w:rPr>
          <w:rFonts w:ascii="ˎ̥" w:hAnsi="ˎ̥"/>
          <w:b/>
          <w:bCs/>
          <w:color w:val="13378B"/>
          <w:sz w:val="36"/>
          <w:szCs w:val="36"/>
        </w:rPr>
      </w:pPr>
    </w:p>
    <w:p w:rsidR="00417752" w:rsidRDefault="00417752" w:rsidP="00417752">
      <w:pPr>
        <w:jc w:val="center"/>
        <w:rPr>
          <w:rFonts w:ascii="ˎ̥" w:hAnsi="ˎ̥"/>
          <w:b/>
          <w:bCs/>
          <w:color w:val="13378B"/>
          <w:sz w:val="36"/>
          <w:szCs w:val="36"/>
        </w:rPr>
      </w:pPr>
    </w:p>
    <w:p w:rsidR="00417752" w:rsidRDefault="00417752" w:rsidP="00417752">
      <w:pPr>
        <w:jc w:val="center"/>
        <w:rPr>
          <w:rFonts w:ascii="ˎ̥" w:hAnsi="ˎ̥"/>
          <w:b/>
          <w:bCs/>
          <w:color w:val="13378B"/>
          <w:sz w:val="36"/>
          <w:szCs w:val="36"/>
        </w:rPr>
      </w:pPr>
    </w:p>
    <w:p w:rsidR="00C50C99" w:rsidRPr="00417752" w:rsidRDefault="00417752" w:rsidP="00417752">
      <w:pPr>
        <w:jc w:val="center"/>
        <w:rPr>
          <w:rFonts w:ascii="ˎ̥" w:hAnsi="ˎ̥"/>
          <w:b/>
          <w:bCs/>
          <w:color w:val="13378B"/>
          <w:sz w:val="36"/>
          <w:szCs w:val="36"/>
        </w:rPr>
      </w:pPr>
      <w:r w:rsidRPr="00417752">
        <w:rPr>
          <w:rFonts w:ascii="ˎ̥" w:hAnsi="ˎ̥"/>
          <w:b/>
          <w:bCs/>
          <w:color w:val="13378B"/>
          <w:sz w:val="36"/>
          <w:szCs w:val="36"/>
        </w:rPr>
        <w:t>南方量化成长股票型证券投资基金招募说明书</w:t>
      </w:r>
    </w:p>
    <w:p w:rsidR="00417752" w:rsidRPr="00417752" w:rsidRDefault="00417752" w:rsidP="00417752">
      <w:pPr>
        <w:jc w:val="center"/>
        <w:rPr>
          <w:rFonts w:ascii="ˎ̥" w:hAnsi="ˎ̥"/>
          <w:b/>
          <w:bCs/>
          <w:color w:val="13378B"/>
          <w:sz w:val="36"/>
          <w:szCs w:val="36"/>
        </w:rPr>
      </w:pPr>
    </w:p>
    <w:p w:rsidR="00417752" w:rsidRDefault="00417752" w:rsidP="00417752">
      <w:pPr>
        <w:jc w:val="center"/>
        <w:rPr>
          <w:rFonts w:ascii="ˎ̥" w:hAnsi="ˎ̥"/>
          <w:b/>
          <w:bCs/>
          <w:color w:val="13378B"/>
          <w:sz w:val="32"/>
          <w:szCs w:val="32"/>
        </w:rPr>
      </w:pPr>
    </w:p>
    <w:p w:rsidR="00417752" w:rsidRDefault="00417752" w:rsidP="00417752">
      <w:pPr>
        <w:jc w:val="center"/>
        <w:rPr>
          <w:rFonts w:ascii="ˎ̥" w:hAnsi="ˎ̥"/>
          <w:b/>
          <w:bCs/>
          <w:color w:val="13378B"/>
          <w:sz w:val="32"/>
          <w:szCs w:val="32"/>
        </w:rPr>
      </w:pPr>
    </w:p>
    <w:p w:rsidR="00417752" w:rsidRDefault="00417752" w:rsidP="00417752">
      <w:pPr>
        <w:jc w:val="center"/>
        <w:rPr>
          <w:rFonts w:ascii="ˎ̥" w:hAnsi="ˎ̥"/>
          <w:b/>
          <w:bCs/>
          <w:color w:val="13378B"/>
          <w:sz w:val="32"/>
          <w:szCs w:val="32"/>
        </w:rPr>
      </w:pPr>
    </w:p>
    <w:p w:rsidR="00417752" w:rsidRDefault="00417752" w:rsidP="00417752">
      <w:pPr>
        <w:jc w:val="center"/>
        <w:rPr>
          <w:rFonts w:ascii="ˎ̥" w:hAnsi="ˎ̥"/>
          <w:b/>
          <w:bCs/>
          <w:color w:val="13378B"/>
          <w:sz w:val="32"/>
          <w:szCs w:val="32"/>
        </w:rPr>
      </w:pPr>
    </w:p>
    <w:p w:rsidR="00417752" w:rsidRPr="00417752" w:rsidRDefault="00417752" w:rsidP="00417752">
      <w:pPr>
        <w:jc w:val="center"/>
        <w:rPr>
          <w:rFonts w:ascii="ˎ̥" w:hAnsi="ˎ̥"/>
          <w:b/>
          <w:bCs/>
          <w:color w:val="13378B"/>
          <w:sz w:val="32"/>
          <w:szCs w:val="32"/>
        </w:rPr>
      </w:pPr>
    </w:p>
    <w:p w:rsidR="00417752" w:rsidRDefault="00417752" w:rsidP="00417752">
      <w:pPr>
        <w:jc w:val="center"/>
        <w:rPr>
          <w:rFonts w:ascii="ˎ̥" w:hAnsi="ˎ̥"/>
          <w:b/>
          <w:bCs/>
          <w:color w:val="13378B"/>
          <w:sz w:val="32"/>
          <w:szCs w:val="32"/>
        </w:rPr>
      </w:pPr>
    </w:p>
    <w:p w:rsidR="00417752" w:rsidRDefault="00417752" w:rsidP="00417752">
      <w:pPr>
        <w:jc w:val="center"/>
        <w:rPr>
          <w:rFonts w:ascii="ˎ̥" w:hAnsi="ˎ̥"/>
          <w:b/>
          <w:bCs/>
          <w:color w:val="13378B"/>
          <w:sz w:val="32"/>
          <w:szCs w:val="32"/>
        </w:rPr>
      </w:pPr>
    </w:p>
    <w:p w:rsidR="00417752" w:rsidRPr="00417752" w:rsidRDefault="00417752" w:rsidP="00417752">
      <w:pPr>
        <w:jc w:val="center"/>
        <w:rPr>
          <w:rFonts w:ascii="ˎ̥" w:hAnsi="ˎ̥"/>
          <w:b/>
          <w:bCs/>
          <w:color w:val="13378B"/>
          <w:sz w:val="32"/>
          <w:szCs w:val="32"/>
        </w:rPr>
      </w:pPr>
    </w:p>
    <w:p w:rsidR="00417752" w:rsidRPr="00417752" w:rsidRDefault="00417752" w:rsidP="00417752">
      <w:pPr>
        <w:widowControl/>
        <w:spacing w:before="100" w:beforeAutospacing="1" w:after="100" w:afterAutospacing="1" w:line="245" w:lineRule="atLeast"/>
        <w:jc w:val="center"/>
        <w:rPr>
          <w:rFonts w:ascii="Verdana" w:eastAsia="宋体" w:hAnsi="Verdana" w:cs="宋体"/>
          <w:color w:val="4B4B4B"/>
          <w:kern w:val="0"/>
          <w:sz w:val="32"/>
          <w:szCs w:val="32"/>
        </w:rPr>
      </w:pPr>
      <w:r w:rsidRPr="00417752">
        <w:rPr>
          <w:rFonts w:ascii="Verdana" w:eastAsia="宋体" w:hAnsi="Verdana" w:cs="宋体"/>
          <w:b/>
          <w:bCs/>
          <w:color w:val="4B4B4B"/>
          <w:kern w:val="0"/>
          <w:sz w:val="32"/>
          <w:szCs w:val="32"/>
        </w:rPr>
        <w:t>基金管理人：南方基金管理有限公司</w:t>
      </w:r>
    </w:p>
    <w:p w:rsidR="00417752" w:rsidRPr="00417752" w:rsidRDefault="00417752" w:rsidP="00417752">
      <w:pPr>
        <w:widowControl/>
        <w:spacing w:before="100" w:beforeAutospacing="1" w:after="100" w:afterAutospacing="1" w:line="245" w:lineRule="atLeast"/>
        <w:jc w:val="center"/>
        <w:rPr>
          <w:rFonts w:ascii="Verdana" w:eastAsia="宋体" w:hAnsi="Verdana" w:cs="宋体"/>
          <w:color w:val="4B4B4B"/>
          <w:kern w:val="0"/>
          <w:sz w:val="32"/>
          <w:szCs w:val="32"/>
        </w:rPr>
      </w:pPr>
      <w:r w:rsidRPr="00417752">
        <w:rPr>
          <w:rFonts w:ascii="Verdana" w:eastAsia="宋体" w:hAnsi="Verdana" w:cs="宋体"/>
          <w:b/>
          <w:bCs/>
          <w:color w:val="4B4B4B"/>
          <w:kern w:val="0"/>
          <w:sz w:val="32"/>
          <w:szCs w:val="32"/>
        </w:rPr>
        <w:t>基金托管人：中国银行股份有限公司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Default="00417752" w:rsidP="00417752">
      <w:pPr>
        <w:widowControl/>
        <w:spacing w:before="100" w:beforeAutospacing="1" w:after="100" w:afterAutospacing="1" w:line="245" w:lineRule="atLeast"/>
        <w:jc w:val="center"/>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center"/>
        <w:rPr>
          <w:rFonts w:ascii="Verdana" w:eastAsia="宋体" w:hAnsi="Verdana" w:cs="宋体"/>
          <w:color w:val="4B4B4B"/>
          <w:kern w:val="0"/>
          <w:szCs w:val="21"/>
        </w:rPr>
      </w:pPr>
    </w:p>
    <w:p w:rsidR="00417752" w:rsidRPr="00417752" w:rsidRDefault="00417752" w:rsidP="00417752">
      <w:pPr>
        <w:widowControl/>
        <w:spacing w:before="100" w:beforeAutospacing="1" w:after="100" w:afterAutospacing="1" w:line="245" w:lineRule="atLeast"/>
        <w:jc w:val="center"/>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b/>
          <w:bCs/>
          <w:color w:val="4B4B4B"/>
          <w:kern w:val="0"/>
          <w:szCs w:val="21"/>
        </w:rPr>
        <w:t>目</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录</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6" w:anchor="_Toc416453840" w:history="1">
        <w:r w:rsidRPr="00417752">
          <w:rPr>
            <w:rFonts w:ascii="Verdana" w:eastAsia="宋体" w:hAnsi="Verdana" w:cs="宋体"/>
            <w:color w:val="4B4B4B"/>
            <w:kern w:val="0"/>
            <w:szCs w:val="21"/>
          </w:rPr>
          <w:t>一、</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绪言</w:t>
        </w:r>
        <w:r w:rsidRPr="00417752">
          <w:rPr>
            <w:rFonts w:ascii="Verdana" w:eastAsia="宋体" w:hAnsi="Verdana" w:cs="宋体"/>
            <w:color w:val="4B4B4B"/>
            <w:kern w:val="0"/>
            <w:szCs w:val="21"/>
          </w:rPr>
          <w:t>    3</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7" w:anchor="_Toc416453841" w:history="1">
        <w:r w:rsidRPr="00417752">
          <w:rPr>
            <w:rFonts w:ascii="Verdana" w:eastAsia="宋体" w:hAnsi="Verdana" w:cs="宋体"/>
            <w:color w:val="4B4B4B"/>
            <w:kern w:val="0"/>
            <w:szCs w:val="21"/>
          </w:rPr>
          <w:t>二、</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释义</w:t>
        </w:r>
        <w:r w:rsidRPr="00417752">
          <w:rPr>
            <w:rFonts w:ascii="Verdana" w:eastAsia="宋体" w:hAnsi="Verdana" w:cs="宋体"/>
            <w:color w:val="4B4B4B"/>
            <w:kern w:val="0"/>
            <w:szCs w:val="21"/>
          </w:rPr>
          <w:t>    4</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8" w:anchor="_Toc416453842" w:history="1">
        <w:r w:rsidRPr="00417752">
          <w:rPr>
            <w:rFonts w:ascii="Verdana" w:eastAsia="宋体" w:hAnsi="Verdana" w:cs="宋体"/>
            <w:color w:val="4B4B4B"/>
            <w:kern w:val="0"/>
            <w:szCs w:val="21"/>
          </w:rPr>
          <w:t>三、</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基金管理人</w:t>
        </w:r>
        <w:r w:rsidRPr="00417752">
          <w:rPr>
            <w:rFonts w:ascii="Verdana" w:eastAsia="宋体" w:hAnsi="Verdana" w:cs="宋体"/>
            <w:color w:val="4B4B4B"/>
            <w:kern w:val="0"/>
            <w:szCs w:val="21"/>
          </w:rPr>
          <w:t>... 7</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9" w:anchor="_Toc416453843" w:history="1">
        <w:r w:rsidRPr="00417752">
          <w:rPr>
            <w:rFonts w:ascii="Verdana" w:eastAsia="宋体" w:hAnsi="Verdana" w:cs="宋体"/>
            <w:color w:val="4B4B4B"/>
            <w:kern w:val="0"/>
            <w:szCs w:val="21"/>
          </w:rPr>
          <w:t>四、</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基金托管人</w:t>
        </w:r>
        <w:r w:rsidRPr="00417752">
          <w:rPr>
            <w:rFonts w:ascii="Verdana" w:eastAsia="宋体" w:hAnsi="Verdana" w:cs="宋体"/>
            <w:color w:val="4B4B4B"/>
            <w:kern w:val="0"/>
            <w:szCs w:val="21"/>
          </w:rPr>
          <w:t>... 16</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10" w:anchor="_Toc416453844" w:history="1">
        <w:r w:rsidRPr="00417752">
          <w:rPr>
            <w:rFonts w:ascii="Verdana" w:eastAsia="宋体" w:hAnsi="Verdana" w:cs="宋体"/>
            <w:color w:val="4B4B4B"/>
            <w:kern w:val="0"/>
            <w:szCs w:val="21"/>
          </w:rPr>
          <w:t>五、</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相关服务机构</w:t>
        </w:r>
        <w:r w:rsidRPr="00417752">
          <w:rPr>
            <w:rFonts w:ascii="Verdana" w:eastAsia="宋体" w:hAnsi="Verdana" w:cs="宋体"/>
            <w:color w:val="4B4B4B"/>
            <w:kern w:val="0"/>
            <w:szCs w:val="21"/>
          </w:rPr>
          <w:t>... 18</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11" w:anchor="_Toc416453845" w:history="1">
        <w:r w:rsidRPr="00417752">
          <w:rPr>
            <w:rFonts w:ascii="Verdana" w:eastAsia="宋体" w:hAnsi="Verdana" w:cs="宋体"/>
            <w:color w:val="4B4B4B"/>
            <w:kern w:val="0"/>
            <w:szCs w:val="21"/>
          </w:rPr>
          <w:t>六、</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基金募集</w:t>
        </w:r>
        <w:r w:rsidRPr="00417752">
          <w:rPr>
            <w:rFonts w:ascii="Verdana" w:eastAsia="宋体" w:hAnsi="Verdana" w:cs="宋体"/>
            <w:color w:val="4B4B4B"/>
            <w:kern w:val="0"/>
            <w:szCs w:val="21"/>
          </w:rPr>
          <w:t>... 20</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12" w:anchor="_Toc416453846" w:history="1">
        <w:r w:rsidRPr="00417752">
          <w:rPr>
            <w:rFonts w:ascii="Verdana" w:eastAsia="宋体" w:hAnsi="Verdana" w:cs="宋体"/>
            <w:color w:val="4B4B4B"/>
            <w:kern w:val="0"/>
            <w:szCs w:val="21"/>
          </w:rPr>
          <w:t>七、</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基金合同的生效</w:t>
        </w:r>
        <w:r w:rsidRPr="00417752">
          <w:rPr>
            <w:rFonts w:ascii="Verdana" w:eastAsia="宋体" w:hAnsi="Verdana" w:cs="宋体"/>
            <w:color w:val="4B4B4B"/>
            <w:kern w:val="0"/>
            <w:szCs w:val="21"/>
          </w:rPr>
          <w:t>... 23</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13" w:anchor="_Toc416453847" w:history="1">
        <w:r w:rsidRPr="00417752">
          <w:rPr>
            <w:rFonts w:ascii="Verdana" w:eastAsia="宋体" w:hAnsi="Verdana" w:cs="宋体"/>
            <w:color w:val="4B4B4B"/>
            <w:kern w:val="0"/>
            <w:szCs w:val="21"/>
          </w:rPr>
          <w:t>八、</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基金份额的申购和赎回</w:t>
        </w:r>
        <w:r w:rsidRPr="00417752">
          <w:rPr>
            <w:rFonts w:ascii="Verdana" w:eastAsia="宋体" w:hAnsi="Verdana" w:cs="宋体"/>
            <w:color w:val="4B4B4B"/>
            <w:kern w:val="0"/>
            <w:szCs w:val="21"/>
          </w:rPr>
          <w:t>... 24</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14" w:anchor="_Toc416453848" w:history="1">
        <w:r w:rsidRPr="00417752">
          <w:rPr>
            <w:rFonts w:ascii="Verdana" w:eastAsia="宋体" w:hAnsi="Verdana" w:cs="宋体"/>
            <w:color w:val="4B4B4B"/>
            <w:kern w:val="0"/>
            <w:szCs w:val="21"/>
          </w:rPr>
          <w:t>九、</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基金的投资</w:t>
        </w:r>
        <w:r w:rsidRPr="00417752">
          <w:rPr>
            <w:rFonts w:ascii="Verdana" w:eastAsia="宋体" w:hAnsi="Verdana" w:cs="宋体"/>
            <w:color w:val="4B4B4B"/>
            <w:kern w:val="0"/>
            <w:szCs w:val="21"/>
          </w:rPr>
          <w:t>... 32</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15" w:anchor="_Toc416453849" w:history="1">
        <w:r w:rsidRPr="00417752">
          <w:rPr>
            <w:rFonts w:ascii="Verdana" w:eastAsia="宋体" w:hAnsi="Verdana" w:cs="宋体"/>
            <w:color w:val="4B4B4B"/>
            <w:kern w:val="0"/>
            <w:szCs w:val="21"/>
          </w:rPr>
          <w:t>十、</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基金的财产</w:t>
        </w:r>
        <w:r w:rsidRPr="00417752">
          <w:rPr>
            <w:rFonts w:ascii="Verdana" w:eastAsia="宋体" w:hAnsi="Verdana" w:cs="宋体"/>
            <w:color w:val="4B4B4B"/>
            <w:kern w:val="0"/>
            <w:szCs w:val="21"/>
          </w:rPr>
          <w:t>... 37</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16" w:anchor="_Toc416453850" w:history="1">
        <w:r w:rsidRPr="00417752">
          <w:rPr>
            <w:rFonts w:ascii="Verdana" w:eastAsia="宋体" w:hAnsi="Verdana" w:cs="宋体"/>
            <w:color w:val="4B4B4B"/>
            <w:kern w:val="0"/>
            <w:szCs w:val="21"/>
          </w:rPr>
          <w:t>十一、</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基金资产估值</w:t>
        </w:r>
        <w:r w:rsidRPr="00417752">
          <w:rPr>
            <w:rFonts w:ascii="Verdana" w:eastAsia="宋体" w:hAnsi="Verdana" w:cs="宋体"/>
            <w:color w:val="4B4B4B"/>
            <w:kern w:val="0"/>
            <w:szCs w:val="21"/>
          </w:rPr>
          <w:t>... 38</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17" w:anchor="_Toc416453851" w:history="1">
        <w:r w:rsidRPr="00417752">
          <w:rPr>
            <w:rFonts w:ascii="Verdana" w:eastAsia="宋体" w:hAnsi="Verdana" w:cs="宋体"/>
            <w:color w:val="4B4B4B"/>
            <w:kern w:val="0"/>
            <w:szCs w:val="21"/>
          </w:rPr>
          <w:t>十二、</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基金的收益与分配</w:t>
        </w:r>
        <w:r w:rsidRPr="00417752">
          <w:rPr>
            <w:rFonts w:ascii="Verdana" w:eastAsia="宋体" w:hAnsi="Verdana" w:cs="宋体"/>
            <w:color w:val="4B4B4B"/>
            <w:kern w:val="0"/>
            <w:szCs w:val="21"/>
          </w:rPr>
          <w:t>... 42</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18" w:anchor="_Toc416453852" w:history="1">
        <w:r w:rsidRPr="00417752">
          <w:rPr>
            <w:rFonts w:ascii="Verdana" w:eastAsia="宋体" w:hAnsi="Verdana" w:cs="宋体"/>
            <w:color w:val="4B4B4B"/>
            <w:kern w:val="0"/>
            <w:szCs w:val="21"/>
          </w:rPr>
          <w:t>十三、</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基金的费用与税收</w:t>
        </w:r>
        <w:r w:rsidRPr="00417752">
          <w:rPr>
            <w:rFonts w:ascii="Verdana" w:eastAsia="宋体" w:hAnsi="Verdana" w:cs="宋体"/>
            <w:color w:val="4B4B4B"/>
            <w:kern w:val="0"/>
            <w:szCs w:val="21"/>
          </w:rPr>
          <w:t>... 44</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19" w:anchor="_Toc416453853" w:history="1">
        <w:r w:rsidRPr="00417752">
          <w:rPr>
            <w:rFonts w:ascii="Verdana" w:eastAsia="宋体" w:hAnsi="Verdana" w:cs="宋体"/>
            <w:color w:val="4B4B4B"/>
            <w:kern w:val="0"/>
            <w:szCs w:val="21"/>
          </w:rPr>
          <w:t>十四、</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基金的会计与审计</w:t>
        </w:r>
        <w:r w:rsidRPr="00417752">
          <w:rPr>
            <w:rFonts w:ascii="Verdana" w:eastAsia="宋体" w:hAnsi="Verdana" w:cs="宋体"/>
            <w:color w:val="4B4B4B"/>
            <w:kern w:val="0"/>
            <w:szCs w:val="21"/>
          </w:rPr>
          <w:t>... 46</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20" w:anchor="_Toc416453854" w:history="1">
        <w:r w:rsidRPr="00417752">
          <w:rPr>
            <w:rFonts w:ascii="Verdana" w:eastAsia="宋体" w:hAnsi="Verdana" w:cs="宋体"/>
            <w:color w:val="4B4B4B"/>
            <w:kern w:val="0"/>
            <w:szCs w:val="21"/>
          </w:rPr>
          <w:t>十五、</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基金的信息披露</w:t>
        </w:r>
        <w:r w:rsidRPr="00417752">
          <w:rPr>
            <w:rFonts w:ascii="Verdana" w:eastAsia="宋体" w:hAnsi="Verdana" w:cs="宋体"/>
            <w:color w:val="4B4B4B"/>
            <w:kern w:val="0"/>
            <w:szCs w:val="21"/>
          </w:rPr>
          <w:t>... 47</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21" w:anchor="_Toc416453855" w:history="1">
        <w:r w:rsidRPr="00417752">
          <w:rPr>
            <w:rFonts w:ascii="Verdana" w:eastAsia="宋体" w:hAnsi="Verdana" w:cs="宋体"/>
            <w:color w:val="4B4B4B"/>
            <w:kern w:val="0"/>
            <w:szCs w:val="21"/>
          </w:rPr>
          <w:t>十六、</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风险揭示</w:t>
        </w:r>
        <w:r w:rsidRPr="00417752">
          <w:rPr>
            <w:rFonts w:ascii="Verdana" w:eastAsia="宋体" w:hAnsi="Verdana" w:cs="宋体"/>
            <w:color w:val="4B4B4B"/>
            <w:kern w:val="0"/>
            <w:szCs w:val="21"/>
          </w:rPr>
          <w:t>... 52</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22" w:anchor="_Toc416453856" w:history="1">
        <w:r w:rsidRPr="00417752">
          <w:rPr>
            <w:rFonts w:ascii="Verdana" w:eastAsia="宋体" w:hAnsi="Verdana" w:cs="宋体"/>
            <w:color w:val="4B4B4B"/>
            <w:kern w:val="0"/>
            <w:szCs w:val="21"/>
          </w:rPr>
          <w:t>十七、</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基金合同的变更、终止和基金财产的清算</w:t>
        </w:r>
        <w:r w:rsidRPr="00417752">
          <w:rPr>
            <w:rFonts w:ascii="Verdana" w:eastAsia="宋体" w:hAnsi="Verdana" w:cs="宋体"/>
            <w:color w:val="4B4B4B"/>
            <w:kern w:val="0"/>
            <w:szCs w:val="21"/>
          </w:rPr>
          <w:t>... 55</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23" w:anchor="_Toc416453857" w:history="1">
        <w:r w:rsidRPr="00417752">
          <w:rPr>
            <w:rFonts w:ascii="Verdana" w:eastAsia="宋体" w:hAnsi="Verdana" w:cs="宋体"/>
            <w:color w:val="4B4B4B"/>
            <w:kern w:val="0"/>
            <w:szCs w:val="21"/>
          </w:rPr>
          <w:t>十八、</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基金合同的内容摘要</w:t>
        </w:r>
        <w:r w:rsidRPr="00417752">
          <w:rPr>
            <w:rFonts w:ascii="Verdana" w:eastAsia="宋体" w:hAnsi="Verdana" w:cs="宋体"/>
            <w:color w:val="4B4B4B"/>
            <w:kern w:val="0"/>
            <w:szCs w:val="21"/>
          </w:rPr>
          <w:t>... 57</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24" w:anchor="_Toc416453858" w:history="1">
        <w:r w:rsidRPr="00417752">
          <w:rPr>
            <w:rFonts w:ascii="Verdana" w:eastAsia="宋体" w:hAnsi="Verdana" w:cs="宋体"/>
            <w:color w:val="4B4B4B"/>
            <w:kern w:val="0"/>
            <w:szCs w:val="21"/>
          </w:rPr>
          <w:t>十九、</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基金托管协议的内容摘要</w:t>
        </w:r>
        <w:r w:rsidRPr="00417752">
          <w:rPr>
            <w:rFonts w:ascii="Verdana" w:eastAsia="宋体" w:hAnsi="Verdana" w:cs="宋体"/>
            <w:color w:val="4B4B4B"/>
            <w:kern w:val="0"/>
            <w:szCs w:val="21"/>
          </w:rPr>
          <w:t>... 75</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25" w:anchor="_Toc416453859" w:history="1">
        <w:r w:rsidRPr="00417752">
          <w:rPr>
            <w:rFonts w:ascii="Verdana" w:eastAsia="宋体" w:hAnsi="Verdana" w:cs="宋体"/>
            <w:color w:val="4B4B4B"/>
            <w:kern w:val="0"/>
            <w:szCs w:val="21"/>
          </w:rPr>
          <w:t>二十、</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基金份额持有人服务</w:t>
        </w:r>
        <w:r w:rsidRPr="00417752">
          <w:rPr>
            <w:rFonts w:ascii="Verdana" w:eastAsia="宋体" w:hAnsi="Verdana" w:cs="宋体"/>
            <w:color w:val="4B4B4B"/>
            <w:kern w:val="0"/>
            <w:szCs w:val="21"/>
          </w:rPr>
          <w:t>... 84</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26" w:anchor="_Toc416453860" w:history="1">
        <w:r w:rsidRPr="00417752">
          <w:rPr>
            <w:rFonts w:ascii="Verdana" w:eastAsia="宋体" w:hAnsi="Verdana" w:cs="宋体"/>
            <w:color w:val="4B4B4B"/>
            <w:kern w:val="0"/>
            <w:szCs w:val="21"/>
          </w:rPr>
          <w:t>二十一、</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其它应披露事项</w:t>
        </w:r>
        <w:r w:rsidRPr="00417752">
          <w:rPr>
            <w:rFonts w:ascii="Verdana" w:eastAsia="宋体" w:hAnsi="Verdana" w:cs="宋体"/>
            <w:color w:val="4B4B4B"/>
            <w:kern w:val="0"/>
            <w:szCs w:val="21"/>
          </w:rPr>
          <w:t>... 88</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hyperlink r:id="rId27" w:anchor="_Toc416453861" w:history="1">
        <w:r w:rsidRPr="00417752">
          <w:rPr>
            <w:rFonts w:ascii="Verdana" w:eastAsia="宋体" w:hAnsi="Verdana" w:cs="宋体"/>
            <w:color w:val="4B4B4B"/>
            <w:kern w:val="0"/>
            <w:szCs w:val="21"/>
          </w:rPr>
          <w:t>二十二、</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招募说明书存放及其查阅方式</w:t>
        </w:r>
        <w:r w:rsidRPr="00417752">
          <w:rPr>
            <w:rFonts w:ascii="Verdana" w:eastAsia="宋体" w:hAnsi="Verdana" w:cs="宋体"/>
            <w:color w:val="4B4B4B"/>
            <w:kern w:val="0"/>
            <w:szCs w:val="21"/>
          </w:rPr>
          <w:t>... 89</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hyperlink r:id="rId28" w:anchor="_Toc416453862" w:history="1">
        <w:r w:rsidRPr="00417752">
          <w:rPr>
            <w:rFonts w:ascii="Verdana" w:eastAsia="宋体" w:hAnsi="Verdana" w:cs="宋体"/>
            <w:color w:val="4B4B4B"/>
            <w:kern w:val="0"/>
            <w:szCs w:val="21"/>
          </w:rPr>
          <w:t>二十三、</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备查文件</w:t>
        </w:r>
        <w:r w:rsidRPr="00417752">
          <w:rPr>
            <w:rFonts w:ascii="Verdana" w:eastAsia="宋体" w:hAnsi="Verdana" w:cs="宋体"/>
            <w:color w:val="4B4B4B"/>
            <w:kern w:val="0"/>
            <w:szCs w:val="21"/>
          </w:rPr>
          <w:t>... 90</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center"/>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center"/>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center"/>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重要提示</w:t>
      </w:r>
    </w:p>
    <w:p w:rsidR="00417752" w:rsidRPr="00417752" w:rsidRDefault="00417752" w:rsidP="00417752">
      <w:pPr>
        <w:widowControl/>
        <w:spacing w:before="100" w:beforeAutospacing="1" w:after="100" w:afterAutospacing="1" w:line="245" w:lineRule="atLeast"/>
        <w:jc w:val="center"/>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本基金经中国证监会</w:t>
      </w:r>
      <w:r w:rsidRPr="00417752">
        <w:rPr>
          <w:rFonts w:ascii="Verdana" w:eastAsia="宋体" w:hAnsi="Verdana" w:cs="宋体"/>
          <w:color w:val="4B4B4B"/>
          <w:kern w:val="0"/>
          <w:szCs w:val="21"/>
        </w:rPr>
        <w:t>2015</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27</w:t>
      </w:r>
      <w:r w:rsidRPr="00417752">
        <w:rPr>
          <w:rFonts w:ascii="Verdana" w:eastAsia="宋体" w:hAnsi="Verdana" w:cs="宋体"/>
          <w:color w:val="4B4B4B"/>
          <w:kern w:val="0"/>
          <w:szCs w:val="21"/>
        </w:rPr>
        <w:t>日证监许可</w:t>
      </w:r>
      <w:r w:rsidRPr="00417752">
        <w:rPr>
          <w:rFonts w:ascii="Verdana" w:eastAsia="宋体" w:hAnsi="Verdana" w:cs="宋体"/>
          <w:color w:val="4B4B4B"/>
          <w:kern w:val="0"/>
          <w:szCs w:val="21"/>
        </w:rPr>
        <w:t>[2015]1038</w:t>
      </w:r>
      <w:r w:rsidRPr="00417752">
        <w:rPr>
          <w:rFonts w:ascii="Verdana" w:eastAsia="宋体" w:hAnsi="Verdana" w:cs="宋体"/>
          <w:color w:val="4B4B4B"/>
          <w:kern w:val="0"/>
          <w:szCs w:val="21"/>
        </w:rPr>
        <w:t>号文注册募集。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风险揭示</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章节等。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投资有风险，投资人认购（或申购）基金时应认真阅读本基金的《招募说明书》及《基金合同》。</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基金的过往业绩并不预示其未来表现。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依照恪尽职守、诚实信用、谨慎勤勉的原则管理和运用基金资产，但不保证基金一定盈利，也不保证最低收益。投资人应当认真阅读基金合同、基金招募说明书等信息披露文件，自主判断基金的投资价值，自主做出投资决策，自行承担投资风险。</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0" w:name="_Toc350789211"/>
      <w:bookmarkStart w:id="1" w:name="_Toc360793493"/>
      <w:bookmarkStart w:id="2" w:name="_Toc360793845"/>
      <w:bookmarkStart w:id="3" w:name="_Toc360794095"/>
      <w:bookmarkStart w:id="4" w:name="_Toc360794403"/>
      <w:bookmarkStart w:id="5" w:name="_Toc360794511"/>
      <w:bookmarkStart w:id="6" w:name="_Toc362455178"/>
      <w:bookmarkStart w:id="7" w:name="_Toc362533450"/>
      <w:bookmarkStart w:id="8" w:name="_Toc416453840"/>
      <w:bookmarkStart w:id="9" w:name="_Toc73936074"/>
      <w:bookmarkStart w:id="10" w:name="_Toc79132642"/>
      <w:bookmarkStart w:id="11" w:name="_Toc80103054"/>
      <w:bookmarkStart w:id="12" w:name="_Toc454720091"/>
      <w:bookmarkStart w:id="13" w:name="_Toc4917378"/>
      <w:bookmarkStart w:id="14" w:name="_Toc10604981"/>
      <w:bookmarkStart w:id="15" w:name="_Toc215629791"/>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417752">
        <w:rPr>
          <w:rFonts w:ascii="Verdana" w:eastAsia="宋体" w:hAnsi="Verdana" w:cs="宋体"/>
          <w:b/>
          <w:bCs/>
          <w:color w:val="4B4B4B"/>
          <w:kern w:val="0"/>
          <w:szCs w:val="21"/>
        </w:rPr>
        <w:t>一、</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绪言</w:t>
      </w:r>
      <w:bookmarkEnd w:id="15"/>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以及《南方量化成长股票型证券投资基金基金合同》编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或对本招募说明书作任何解释或者说明。</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16" w:name="_Toc360793846"/>
      <w:bookmarkStart w:id="17" w:name="_Toc360794096"/>
      <w:bookmarkStart w:id="18" w:name="_Toc360794404"/>
      <w:bookmarkStart w:id="19" w:name="_Toc360794512"/>
      <w:bookmarkStart w:id="20" w:name="_Toc362455179"/>
      <w:bookmarkStart w:id="21" w:name="_Toc362533451"/>
      <w:bookmarkStart w:id="22" w:name="_Toc416453841"/>
      <w:bookmarkStart w:id="23" w:name="_Toc360793494"/>
      <w:bookmarkEnd w:id="16"/>
      <w:bookmarkEnd w:id="17"/>
      <w:bookmarkEnd w:id="18"/>
      <w:bookmarkEnd w:id="19"/>
      <w:bookmarkEnd w:id="20"/>
      <w:bookmarkEnd w:id="21"/>
      <w:bookmarkEnd w:id="22"/>
      <w:r w:rsidRPr="00417752">
        <w:rPr>
          <w:rFonts w:ascii="Verdana" w:eastAsia="宋体" w:hAnsi="Verdana" w:cs="宋体"/>
          <w:b/>
          <w:bCs/>
          <w:color w:val="4B4B4B"/>
          <w:kern w:val="0"/>
          <w:szCs w:val="21"/>
        </w:rPr>
        <w:t>二、</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释义</w:t>
      </w:r>
      <w:bookmarkEnd w:id="23"/>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在本招募说明书中，除非文意另有所指，下列词语或简称具有如下含义：</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、基金或本基金：指南方量化成长股票型证券投资基金</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、基金管理人：指南方基金管理有限公司</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、基金托管人：指中国银行股份有限公司</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、基金合同或本基金合同：指《南方量化成长股票型证券投资基金基金合同》及对本基金合同的任何有效修订和补充</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、托管协议：指基金管理人与基金托管人就本基金签订之《南方量化成长股票型证券投资基金托管协议》及对该托管协议的任何有效修订和补充</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、招募说明书或本招募说明书：指《南方量化成长股票型证券投资基金招募说明书》及其定期的更新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、基金份额发售公告：指《南方量化成长股票型证券投资基金基金份额发售公告》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、法律法规：指中国现行有效并公布实施的法律、行政法规、规范性文件、司法解释、行政规章以及其他对基金合同当事人有约束力的决定、决议、通知等</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、《基金法》：指</w:t>
      </w:r>
      <w:r w:rsidRPr="00417752">
        <w:rPr>
          <w:rFonts w:ascii="Verdana" w:eastAsia="宋体" w:hAnsi="Verdana" w:cs="宋体"/>
          <w:color w:val="4B4B4B"/>
          <w:kern w:val="0"/>
          <w:szCs w:val="21"/>
        </w:rPr>
        <w:t>2003</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28</w:t>
      </w:r>
      <w:r w:rsidRPr="00417752">
        <w:rPr>
          <w:rFonts w:ascii="Verdana" w:eastAsia="宋体" w:hAnsi="Verdana" w:cs="宋体"/>
          <w:color w:val="4B4B4B"/>
          <w:kern w:val="0"/>
          <w:szCs w:val="21"/>
        </w:rPr>
        <w:t>日经第十届全国人民代表大会常务委员会第五次会议通过，自</w:t>
      </w:r>
      <w:r w:rsidRPr="00417752">
        <w:rPr>
          <w:rFonts w:ascii="Verdana" w:eastAsia="宋体" w:hAnsi="Verdana" w:cs="宋体"/>
          <w:color w:val="4B4B4B"/>
          <w:kern w:val="0"/>
          <w:szCs w:val="21"/>
        </w:rPr>
        <w:t>2004</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日起实施并在</w:t>
      </w:r>
      <w:r w:rsidRPr="00417752">
        <w:rPr>
          <w:rFonts w:ascii="Verdana" w:eastAsia="宋体" w:hAnsi="Verdana" w:cs="宋体"/>
          <w:color w:val="4B4B4B"/>
          <w:kern w:val="0"/>
          <w:szCs w:val="21"/>
        </w:rPr>
        <w:t>2012</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28</w:t>
      </w:r>
      <w:r w:rsidRPr="00417752">
        <w:rPr>
          <w:rFonts w:ascii="Verdana" w:eastAsia="宋体" w:hAnsi="Verdana" w:cs="宋体"/>
          <w:color w:val="4B4B4B"/>
          <w:kern w:val="0"/>
          <w:szCs w:val="21"/>
        </w:rPr>
        <w:t>日第十一届全国人民代表大会常务委员会第三十次会议修订、自</w:t>
      </w:r>
      <w:r w:rsidRPr="00417752">
        <w:rPr>
          <w:rFonts w:ascii="Verdana" w:eastAsia="宋体" w:hAnsi="Verdana" w:cs="宋体"/>
          <w:color w:val="4B4B4B"/>
          <w:kern w:val="0"/>
          <w:szCs w:val="21"/>
        </w:rPr>
        <w:t>2013</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日起实施的《中华人民共和国证券投资基金法》及颁布机关对其不时做出的修订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、《销售办法》：指中国证监会</w:t>
      </w:r>
      <w:r w:rsidRPr="00417752">
        <w:rPr>
          <w:rFonts w:ascii="Verdana" w:eastAsia="宋体" w:hAnsi="Verdana" w:cs="宋体"/>
          <w:color w:val="4B4B4B"/>
          <w:kern w:val="0"/>
          <w:szCs w:val="21"/>
        </w:rPr>
        <w:t>2013</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日颁布、同年</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日实施的《证券投资基金销售管理办法》及颁布机关对其不时做出的修订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11</w:t>
      </w:r>
      <w:r w:rsidRPr="00417752">
        <w:rPr>
          <w:rFonts w:ascii="Verdana" w:eastAsia="宋体" w:hAnsi="Verdana" w:cs="宋体"/>
          <w:color w:val="4B4B4B"/>
          <w:kern w:val="0"/>
          <w:szCs w:val="21"/>
        </w:rPr>
        <w:t>、《信息披露办法》：指中国证监会</w:t>
      </w:r>
      <w:r w:rsidRPr="00417752">
        <w:rPr>
          <w:rFonts w:ascii="Verdana" w:eastAsia="宋体" w:hAnsi="Verdana" w:cs="宋体"/>
          <w:color w:val="4B4B4B"/>
          <w:kern w:val="0"/>
          <w:szCs w:val="21"/>
        </w:rPr>
        <w:t>2004</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日颁布、同年</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日实施的《证券投资基金信息披露管理办法》及颁布机关对其不时做出的修订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、《运作办法》：指中国证监会</w:t>
      </w:r>
      <w:r w:rsidRPr="00417752">
        <w:rPr>
          <w:rFonts w:ascii="Verdana" w:eastAsia="宋体" w:hAnsi="Verdana" w:cs="宋体"/>
          <w:color w:val="4B4B4B"/>
          <w:kern w:val="0"/>
          <w:szCs w:val="21"/>
        </w:rPr>
        <w:t>2014</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日颁布、同年</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日实施的《公开募集证券投资基金运作管理办法》及颁布机关对其不时做出的修订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13</w:t>
      </w:r>
      <w:r w:rsidRPr="00417752">
        <w:rPr>
          <w:rFonts w:ascii="Verdana" w:eastAsia="宋体" w:hAnsi="Verdana" w:cs="宋体"/>
          <w:color w:val="4B4B4B"/>
          <w:kern w:val="0"/>
          <w:szCs w:val="21"/>
        </w:rPr>
        <w:t>、中国证监会：指中国证券监督管理委员会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14</w:t>
      </w:r>
      <w:r w:rsidRPr="00417752">
        <w:rPr>
          <w:rFonts w:ascii="Verdana" w:eastAsia="宋体" w:hAnsi="Verdana" w:cs="宋体"/>
          <w:color w:val="4B4B4B"/>
          <w:kern w:val="0"/>
          <w:szCs w:val="21"/>
        </w:rPr>
        <w:t>、银行业监督管理机构：指中国人民银行和</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或中国银行业监督管理委员会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、基金合同当事人：指受基金合同约束，根据基金合同享有权利并承担义务的法律主体，包括基金管理人、基金托管人和基金份额持有人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16</w:t>
      </w:r>
      <w:r w:rsidRPr="00417752">
        <w:rPr>
          <w:rFonts w:ascii="Verdana" w:eastAsia="宋体" w:hAnsi="Verdana" w:cs="宋体"/>
          <w:color w:val="4B4B4B"/>
          <w:kern w:val="0"/>
          <w:szCs w:val="21"/>
        </w:rPr>
        <w:t>、个人投资者：指依据有关法律法规规定可投资于证券投资基金的自然人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17</w:t>
      </w:r>
      <w:r w:rsidRPr="00417752">
        <w:rPr>
          <w:rFonts w:ascii="Verdana" w:eastAsia="宋体" w:hAnsi="Verdana" w:cs="宋体"/>
          <w:color w:val="4B4B4B"/>
          <w:kern w:val="0"/>
          <w:szCs w:val="21"/>
        </w:rPr>
        <w:t>、机构投资者：指依法可以投资证券投资基金的、在中华人民共和国境内合法登记并存续或经有关政府部门批准设立并存续的企业法人、事业法人、社会团体或其他组织</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18</w:t>
      </w:r>
      <w:r w:rsidRPr="00417752">
        <w:rPr>
          <w:rFonts w:ascii="Verdana" w:eastAsia="宋体" w:hAnsi="Verdana" w:cs="宋体"/>
          <w:color w:val="4B4B4B"/>
          <w:kern w:val="0"/>
          <w:szCs w:val="21"/>
        </w:rPr>
        <w:t>、合格境外机构投资者：指符合《合格境外机构投资者境内证券投资管理办法》（包括其不时修订）及相关法律法规规定可以投资于中国境内证券市场的中国境外的机构投资者</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19</w:t>
      </w:r>
      <w:r w:rsidRPr="00417752">
        <w:rPr>
          <w:rFonts w:ascii="Verdana" w:eastAsia="宋体" w:hAnsi="Verdana" w:cs="宋体"/>
          <w:color w:val="4B4B4B"/>
          <w:kern w:val="0"/>
          <w:szCs w:val="21"/>
        </w:rPr>
        <w:t>、人民币合格境外机构投资者：指按照《人民币合格境外机构投资者境内证券投资试点办法》（包括其不时修订）及相关法律法规规定，运用来自境外的人民币资金进行境内证券投资的境外法人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、投资人：指个人投资者、机构投资者、合格境外机构投资者和人民币合格境外机构投资者以及法律法规或中国证监会允许购买证券投资基金的其他投资人的合称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21</w:t>
      </w:r>
      <w:r w:rsidRPr="00417752">
        <w:rPr>
          <w:rFonts w:ascii="Verdana" w:eastAsia="宋体" w:hAnsi="Verdana" w:cs="宋体"/>
          <w:color w:val="4B4B4B"/>
          <w:kern w:val="0"/>
          <w:szCs w:val="21"/>
        </w:rPr>
        <w:t>、基金份额持有人：指依基金合同和招募说明书合法取得基金份额的投资人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22</w:t>
      </w:r>
      <w:r w:rsidRPr="00417752">
        <w:rPr>
          <w:rFonts w:ascii="Verdana" w:eastAsia="宋体" w:hAnsi="Verdana" w:cs="宋体"/>
          <w:color w:val="4B4B4B"/>
          <w:kern w:val="0"/>
          <w:szCs w:val="21"/>
        </w:rPr>
        <w:t>、基金销售业务：指基金管理人或销售机构宣传推介基金，发售基金份额，办理基金份额的申购、赎回、转换、转托管及定投等业务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23</w:t>
      </w:r>
      <w:r w:rsidRPr="00417752">
        <w:rPr>
          <w:rFonts w:ascii="Verdana" w:eastAsia="宋体" w:hAnsi="Verdana" w:cs="宋体"/>
          <w:color w:val="4B4B4B"/>
          <w:kern w:val="0"/>
          <w:szCs w:val="21"/>
        </w:rPr>
        <w:t>、销售机构：指南方基金管理有限公司以及符合《销售办法》和中国证监会规定的其他条件，取得基金销售业务资格并与基金管理人签订了基金销售服务协议，办理基金销售业务的机构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24</w:t>
      </w:r>
      <w:r w:rsidRPr="00417752">
        <w:rPr>
          <w:rFonts w:ascii="Verdana" w:eastAsia="宋体" w:hAnsi="Verdana" w:cs="宋体"/>
          <w:color w:val="4B4B4B"/>
          <w:kern w:val="0"/>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25</w:t>
      </w:r>
      <w:r w:rsidRPr="00417752">
        <w:rPr>
          <w:rFonts w:ascii="Verdana" w:eastAsia="宋体" w:hAnsi="Verdana" w:cs="宋体"/>
          <w:color w:val="4B4B4B"/>
          <w:kern w:val="0"/>
          <w:szCs w:val="21"/>
        </w:rPr>
        <w:t>、登记机构：指办理登记业务的机构。基金的登记机构为南方基金管理有限公司或接受南方基金管理有限公司委托代为办理登记业务的机构，本基金的登记机构为南方基金管理有限公司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26</w:t>
      </w:r>
      <w:r w:rsidRPr="00417752">
        <w:rPr>
          <w:rFonts w:ascii="Verdana" w:eastAsia="宋体" w:hAnsi="Verdana" w:cs="宋体"/>
          <w:color w:val="4B4B4B"/>
          <w:kern w:val="0"/>
          <w:szCs w:val="21"/>
        </w:rPr>
        <w:t>、基金账户：指登记机构为投资人开立的、记录其持有的、基金管理人所管理的基金份额余额及其变动情况的账户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27</w:t>
      </w:r>
      <w:r w:rsidRPr="00417752">
        <w:rPr>
          <w:rFonts w:ascii="Verdana" w:eastAsia="宋体" w:hAnsi="Verdana" w:cs="宋体"/>
          <w:color w:val="4B4B4B"/>
          <w:kern w:val="0"/>
          <w:szCs w:val="21"/>
        </w:rPr>
        <w:t>、基金交易账户：指销售机构为投资人开立的、记录投资人通过该销售机构办理基金业务而引起的基金份额变动及结余情况的账户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28</w:t>
      </w:r>
      <w:r w:rsidRPr="00417752">
        <w:rPr>
          <w:rFonts w:ascii="Verdana" w:eastAsia="宋体" w:hAnsi="Verdana" w:cs="宋体"/>
          <w:color w:val="4B4B4B"/>
          <w:kern w:val="0"/>
          <w:szCs w:val="21"/>
        </w:rPr>
        <w:t>、基金合同生效日：指基金募集达到法律法规规定及基金合同规定的条件，基金管理人向中国证监会办理基金备案手续完毕，并获得中国证监会书面确认的日期</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29</w:t>
      </w:r>
      <w:r w:rsidRPr="00417752">
        <w:rPr>
          <w:rFonts w:ascii="Verdana" w:eastAsia="宋体" w:hAnsi="Verdana" w:cs="宋体"/>
          <w:color w:val="4B4B4B"/>
          <w:kern w:val="0"/>
          <w:szCs w:val="21"/>
        </w:rPr>
        <w:t>、基金合同终止日：指基金合同规定的基金合同终止事由出现后，基金财产清算完毕，清算结果报中国证监会备案并予以公告的日期</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30</w:t>
      </w:r>
      <w:r w:rsidRPr="00417752">
        <w:rPr>
          <w:rFonts w:ascii="Verdana" w:eastAsia="宋体" w:hAnsi="Verdana" w:cs="宋体"/>
          <w:color w:val="4B4B4B"/>
          <w:kern w:val="0"/>
          <w:szCs w:val="21"/>
        </w:rPr>
        <w:t>、基金募集期：指自基金份额发售之日起至发售结束之日止的期间，最长不得超过</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31</w:t>
      </w:r>
      <w:r w:rsidRPr="00417752">
        <w:rPr>
          <w:rFonts w:ascii="Verdana" w:eastAsia="宋体" w:hAnsi="Verdana" w:cs="宋体"/>
          <w:color w:val="4B4B4B"/>
          <w:kern w:val="0"/>
          <w:szCs w:val="21"/>
        </w:rPr>
        <w:t>、存续期：指基金合同生效至终止之间的不定期期限</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32</w:t>
      </w:r>
      <w:r w:rsidRPr="00417752">
        <w:rPr>
          <w:rFonts w:ascii="Verdana" w:eastAsia="宋体" w:hAnsi="Verdana" w:cs="宋体"/>
          <w:color w:val="4B4B4B"/>
          <w:kern w:val="0"/>
          <w:szCs w:val="21"/>
        </w:rPr>
        <w:t>、工作日：指上海证券交易所、深圳证券交易所的正常交易日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33</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T</w:t>
      </w:r>
      <w:r w:rsidRPr="00417752">
        <w:rPr>
          <w:rFonts w:ascii="Verdana" w:eastAsia="宋体" w:hAnsi="Verdana" w:cs="宋体"/>
          <w:color w:val="4B4B4B"/>
          <w:kern w:val="0"/>
          <w:szCs w:val="21"/>
        </w:rPr>
        <w:t>日：指销售机构在规定时间受理投资人申购、赎回或其他业务申请的开放日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34</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T+n</w:t>
      </w:r>
      <w:r w:rsidRPr="00417752">
        <w:rPr>
          <w:rFonts w:ascii="Verdana" w:eastAsia="宋体" w:hAnsi="Verdana" w:cs="宋体"/>
          <w:color w:val="4B4B4B"/>
          <w:kern w:val="0"/>
          <w:szCs w:val="21"/>
        </w:rPr>
        <w:t>日：指自</w:t>
      </w:r>
      <w:r w:rsidRPr="00417752">
        <w:rPr>
          <w:rFonts w:ascii="Verdana" w:eastAsia="宋体" w:hAnsi="Verdana" w:cs="宋体"/>
          <w:color w:val="4B4B4B"/>
          <w:kern w:val="0"/>
          <w:szCs w:val="21"/>
        </w:rPr>
        <w:t>T</w:t>
      </w:r>
      <w:r w:rsidRPr="00417752">
        <w:rPr>
          <w:rFonts w:ascii="Verdana" w:eastAsia="宋体" w:hAnsi="Verdana" w:cs="宋体"/>
          <w:color w:val="4B4B4B"/>
          <w:kern w:val="0"/>
          <w:szCs w:val="21"/>
        </w:rPr>
        <w:t>日起第</w:t>
      </w:r>
      <w:r w:rsidRPr="00417752">
        <w:rPr>
          <w:rFonts w:ascii="Verdana" w:eastAsia="宋体" w:hAnsi="Verdana" w:cs="宋体"/>
          <w:color w:val="4B4B4B"/>
          <w:kern w:val="0"/>
          <w:szCs w:val="21"/>
        </w:rPr>
        <w:t>n</w:t>
      </w:r>
      <w:r w:rsidRPr="00417752">
        <w:rPr>
          <w:rFonts w:ascii="Verdana" w:eastAsia="宋体" w:hAnsi="Verdana" w:cs="宋体"/>
          <w:color w:val="4B4B4B"/>
          <w:kern w:val="0"/>
          <w:szCs w:val="21"/>
        </w:rPr>
        <w:t>个工作日</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不包含</w:t>
      </w:r>
      <w:r w:rsidRPr="00417752">
        <w:rPr>
          <w:rFonts w:ascii="Verdana" w:eastAsia="宋体" w:hAnsi="Verdana" w:cs="宋体"/>
          <w:color w:val="4B4B4B"/>
          <w:kern w:val="0"/>
          <w:szCs w:val="21"/>
        </w:rPr>
        <w:t>T</w:t>
      </w:r>
      <w:r w:rsidRPr="00417752">
        <w:rPr>
          <w:rFonts w:ascii="Verdana" w:eastAsia="宋体" w:hAnsi="Verdana" w:cs="宋体"/>
          <w:color w:val="4B4B4B"/>
          <w:kern w:val="0"/>
          <w:szCs w:val="21"/>
        </w:rPr>
        <w:t>日</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n</w:t>
      </w:r>
      <w:r w:rsidRPr="00417752">
        <w:rPr>
          <w:rFonts w:ascii="Verdana" w:eastAsia="宋体" w:hAnsi="Verdana" w:cs="宋体"/>
          <w:color w:val="4B4B4B"/>
          <w:kern w:val="0"/>
          <w:szCs w:val="21"/>
        </w:rPr>
        <w:t>为自然数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35</w:t>
      </w:r>
      <w:r w:rsidRPr="00417752">
        <w:rPr>
          <w:rFonts w:ascii="Verdana" w:eastAsia="宋体" w:hAnsi="Verdana" w:cs="宋体"/>
          <w:color w:val="4B4B4B"/>
          <w:kern w:val="0"/>
          <w:szCs w:val="21"/>
        </w:rPr>
        <w:t>、开放日：指为投资人办理基金份额申购、赎回或其他业务的工作日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36</w:t>
      </w:r>
      <w:r w:rsidRPr="00417752">
        <w:rPr>
          <w:rFonts w:ascii="Verdana" w:eastAsia="宋体" w:hAnsi="Verdana" w:cs="宋体"/>
          <w:color w:val="4B4B4B"/>
          <w:kern w:val="0"/>
          <w:szCs w:val="21"/>
        </w:rPr>
        <w:t>、开放时间：指开放日基金接受申购、赎回或其他交易的时间段</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37</w:t>
      </w:r>
      <w:r w:rsidRPr="00417752">
        <w:rPr>
          <w:rFonts w:ascii="Verdana" w:eastAsia="宋体" w:hAnsi="Verdana" w:cs="宋体"/>
          <w:color w:val="4B4B4B"/>
          <w:kern w:val="0"/>
          <w:szCs w:val="21"/>
        </w:rPr>
        <w:t>、《业务规则》：指《南方基金管理有限公司开放式基金业务规则》，是规范基金管理人所管理的开放式证券投资基金登记方面的业务规则，由基金管理人和投资人共同遵守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38</w:t>
      </w:r>
      <w:r w:rsidRPr="00417752">
        <w:rPr>
          <w:rFonts w:ascii="Verdana" w:eastAsia="宋体" w:hAnsi="Verdana" w:cs="宋体"/>
          <w:color w:val="4B4B4B"/>
          <w:kern w:val="0"/>
          <w:szCs w:val="21"/>
        </w:rPr>
        <w:t>、认购：指在基金募集期内，投资人根据基金合同和招募说明书的规定申请购买基金份额的行为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39</w:t>
      </w:r>
      <w:r w:rsidRPr="00417752">
        <w:rPr>
          <w:rFonts w:ascii="Verdana" w:eastAsia="宋体" w:hAnsi="Verdana" w:cs="宋体"/>
          <w:color w:val="4B4B4B"/>
          <w:kern w:val="0"/>
          <w:szCs w:val="21"/>
        </w:rPr>
        <w:t>、申购：指基金合同生效后，投资人根据基金合同和招募说明书的规定申请购买基金份额的行为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40</w:t>
      </w:r>
      <w:r w:rsidRPr="00417752">
        <w:rPr>
          <w:rFonts w:ascii="Verdana" w:eastAsia="宋体" w:hAnsi="Verdana" w:cs="宋体"/>
          <w:color w:val="4B4B4B"/>
          <w:kern w:val="0"/>
          <w:szCs w:val="21"/>
        </w:rPr>
        <w:t>、赎回：指基金合同生效后，基金份额持有人按基金合同和招募说明书规定的条件要求将基金份额兑换为现金的行为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41</w:t>
      </w:r>
      <w:r w:rsidRPr="00417752">
        <w:rPr>
          <w:rFonts w:ascii="Verdana" w:eastAsia="宋体" w:hAnsi="Verdana" w:cs="宋体"/>
          <w:color w:val="4B4B4B"/>
          <w:kern w:val="0"/>
          <w:szCs w:val="21"/>
        </w:rPr>
        <w:t>、基金转换：指基金份额持有人按照本基金合同和基金管理人届时有效公告规定的条件，申请将其持有基金管理人管理的、某一基金的基金份额转换为基金管理人管理的其他基金份额的行为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42</w:t>
      </w:r>
      <w:r w:rsidRPr="00417752">
        <w:rPr>
          <w:rFonts w:ascii="Verdana" w:eastAsia="宋体" w:hAnsi="Verdana" w:cs="宋体"/>
          <w:color w:val="4B4B4B"/>
          <w:kern w:val="0"/>
          <w:szCs w:val="21"/>
        </w:rPr>
        <w:t>、转托管：指基金份额持有人在本基金的不同销售机构之间实施的变更所持基金份额销售机构的操作</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43</w:t>
      </w:r>
      <w:r w:rsidRPr="00417752">
        <w:rPr>
          <w:rFonts w:ascii="Verdana" w:eastAsia="宋体" w:hAnsi="Verdana" w:cs="宋体"/>
          <w:color w:val="4B4B4B"/>
          <w:kern w:val="0"/>
          <w:szCs w:val="21"/>
        </w:rPr>
        <w:t>、定投计划：指投资人通过有关销售机构提出申请，约定每期申购日、扣款金额及扣款方式，由销售机构于每期约定扣款日在投资人指定银行账户内自动完成扣款及受理基金申购申请的一种投资方式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44</w:t>
      </w:r>
      <w:r w:rsidRPr="00417752">
        <w:rPr>
          <w:rFonts w:ascii="Verdana" w:eastAsia="宋体" w:hAnsi="Verdana" w:cs="宋体"/>
          <w:color w:val="4B4B4B"/>
          <w:kern w:val="0"/>
          <w:szCs w:val="21"/>
        </w:rPr>
        <w:t>、巨额赎回：指本基金单个开放日，基金净赎回申请</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赎回申请份额总数加上基金转换中转出申请份额总数后扣除申购申请份额总数及基金转换中转入申请份额总数后的余额</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超过上一开放日基金总份额的</w:t>
      </w:r>
      <w:r w:rsidRPr="00417752">
        <w:rPr>
          <w:rFonts w:ascii="Verdana" w:eastAsia="宋体" w:hAnsi="Verdana" w:cs="宋体"/>
          <w:color w:val="4B4B4B"/>
          <w:kern w:val="0"/>
          <w:szCs w:val="21"/>
        </w:rPr>
        <w:t>10%</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45</w:t>
      </w:r>
      <w:r w:rsidRPr="00417752">
        <w:rPr>
          <w:rFonts w:ascii="Verdana" w:eastAsia="宋体" w:hAnsi="Verdana" w:cs="宋体"/>
          <w:color w:val="4B4B4B"/>
          <w:kern w:val="0"/>
          <w:szCs w:val="21"/>
        </w:rPr>
        <w:t>、元：指人民币元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46</w:t>
      </w:r>
      <w:r w:rsidRPr="00417752">
        <w:rPr>
          <w:rFonts w:ascii="Verdana" w:eastAsia="宋体" w:hAnsi="Verdana" w:cs="宋体"/>
          <w:color w:val="4B4B4B"/>
          <w:kern w:val="0"/>
          <w:szCs w:val="21"/>
        </w:rPr>
        <w:t>、基金利润：指基金利息收入、投资收益、公允价值变动收益和其他收入扣除相关费用后的余额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47</w:t>
      </w:r>
      <w:r w:rsidRPr="00417752">
        <w:rPr>
          <w:rFonts w:ascii="Verdana" w:eastAsia="宋体" w:hAnsi="Verdana" w:cs="宋体"/>
          <w:color w:val="4B4B4B"/>
          <w:kern w:val="0"/>
          <w:szCs w:val="21"/>
        </w:rPr>
        <w:t>、基金资产总值：指基金拥有的各类有价证券、银行存款本息、基金应收申购款及其他资产的价值总和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48</w:t>
      </w:r>
      <w:r w:rsidRPr="00417752">
        <w:rPr>
          <w:rFonts w:ascii="Verdana" w:eastAsia="宋体" w:hAnsi="Verdana" w:cs="宋体"/>
          <w:color w:val="4B4B4B"/>
          <w:kern w:val="0"/>
          <w:szCs w:val="21"/>
        </w:rPr>
        <w:t>、基金资产净值：指基金资产总值减去基金负债后的价值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49</w:t>
      </w:r>
      <w:r w:rsidRPr="00417752">
        <w:rPr>
          <w:rFonts w:ascii="Verdana" w:eastAsia="宋体" w:hAnsi="Verdana" w:cs="宋体"/>
          <w:color w:val="4B4B4B"/>
          <w:kern w:val="0"/>
          <w:szCs w:val="21"/>
        </w:rPr>
        <w:t>、基金份额净值：指计算日基金资产净值除以计算日基金份额总数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50</w:t>
      </w:r>
      <w:r w:rsidRPr="00417752">
        <w:rPr>
          <w:rFonts w:ascii="Verdana" w:eastAsia="宋体" w:hAnsi="Verdana" w:cs="宋体"/>
          <w:color w:val="4B4B4B"/>
          <w:kern w:val="0"/>
          <w:szCs w:val="21"/>
        </w:rPr>
        <w:t>、基金资产估值：指计算评估基金资产和负债的价值，以确定基金资产净值和基金份额净值的过程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51</w:t>
      </w:r>
      <w:r w:rsidRPr="00417752">
        <w:rPr>
          <w:rFonts w:ascii="Verdana" w:eastAsia="宋体" w:hAnsi="Verdana" w:cs="宋体"/>
          <w:color w:val="4B4B4B"/>
          <w:kern w:val="0"/>
          <w:szCs w:val="21"/>
        </w:rPr>
        <w:t>、指定媒介：指中国证监会指定的用以进行信息披露的媒介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52</w:t>
      </w:r>
      <w:r w:rsidRPr="00417752">
        <w:rPr>
          <w:rFonts w:ascii="Verdana" w:eastAsia="宋体" w:hAnsi="Verdana" w:cs="宋体"/>
          <w:color w:val="4B4B4B"/>
          <w:kern w:val="0"/>
          <w:szCs w:val="21"/>
        </w:rPr>
        <w:t>、不可抗力：指本基金合同当事人不能预见、不能避免且不能克服的客观事件。</w:t>
      </w: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24" w:name="_Toc360793847"/>
      <w:bookmarkStart w:id="25" w:name="_Toc360794097"/>
      <w:bookmarkStart w:id="26" w:name="_Toc360794405"/>
      <w:bookmarkStart w:id="27" w:name="_Toc360794513"/>
      <w:bookmarkStart w:id="28" w:name="_Toc362455180"/>
      <w:bookmarkStart w:id="29" w:name="_Toc362533452"/>
      <w:bookmarkStart w:id="30" w:name="_Toc416453842"/>
      <w:bookmarkStart w:id="31" w:name="_Toc360793495"/>
      <w:bookmarkEnd w:id="24"/>
      <w:bookmarkEnd w:id="25"/>
      <w:bookmarkEnd w:id="26"/>
      <w:bookmarkEnd w:id="27"/>
      <w:bookmarkEnd w:id="28"/>
      <w:bookmarkEnd w:id="29"/>
      <w:bookmarkEnd w:id="30"/>
      <w:r w:rsidRPr="00417752">
        <w:rPr>
          <w:rFonts w:ascii="Verdana" w:eastAsia="宋体" w:hAnsi="Verdana" w:cs="宋体"/>
          <w:b/>
          <w:bCs/>
          <w:color w:val="4B4B4B"/>
          <w:kern w:val="0"/>
          <w:szCs w:val="21"/>
        </w:rPr>
        <w:t>三、</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基金管理人</w:t>
      </w:r>
      <w:bookmarkEnd w:id="31"/>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    </w:t>
      </w:r>
      <w:r w:rsidRPr="00417752">
        <w:rPr>
          <w:rFonts w:ascii="Verdana" w:eastAsia="宋体" w:hAnsi="Verdana" w:cs="宋体"/>
          <w:b/>
          <w:bCs/>
          <w:color w:val="4B4B4B"/>
          <w:kern w:val="0"/>
          <w:szCs w:val="21"/>
        </w:rPr>
        <w:t>一、基金管理人概况</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名称：南方基金管理有限公司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住所及办公地址：深圳市福田中心区福华一路六号免税商务大厦塔楼</w:t>
      </w:r>
      <w:r w:rsidRPr="00417752">
        <w:rPr>
          <w:rFonts w:ascii="Verdana" w:eastAsia="宋体" w:hAnsi="Verdana" w:cs="宋体"/>
          <w:color w:val="4B4B4B"/>
          <w:kern w:val="0"/>
          <w:szCs w:val="21"/>
        </w:rPr>
        <w:t>31</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32</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33</w:t>
      </w:r>
      <w:r w:rsidRPr="00417752">
        <w:rPr>
          <w:rFonts w:ascii="Verdana" w:eastAsia="宋体" w:hAnsi="Verdana" w:cs="宋体"/>
          <w:color w:val="4B4B4B"/>
          <w:kern w:val="0"/>
          <w:szCs w:val="21"/>
        </w:rPr>
        <w:t>层整层</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成立时间：</w:t>
      </w:r>
      <w:r w:rsidRPr="00417752">
        <w:rPr>
          <w:rFonts w:ascii="Verdana" w:eastAsia="宋体" w:hAnsi="Verdana" w:cs="宋体"/>
          <w:color w:val="4B4B4B"/>
          <w:kern w:val="0"/>
          <w:szCs w:val="21"/>
        </w:rPr>
        <w:t>1998</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法定代表人：吴万善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注册资本：</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亿元人民币</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电话：（</w:t>
      </w:r>
      <w:r w:rsidRPr="00417752">
        <w:rPr>
          <w:rFonts w:ascii="Verdana" w:eastAsia="宋体" w:hAnsi="Verdana" w:cs="宋体"/>
          <w:color w:val="4B4B4B"/>
          <w:kern w:val="0"/>
          <w:szCs w:val="21"/>
        </w:rPr>
        <w:t>0755</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82763888</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传真：（</w:t>
      </w:r>
      <w:r w:rsidRPr="00417752">
        <w:rPr>
          <w:rFonts w:ascii="Verdana" w:eastAsia="宋体" w:hAnsi="Verdana" w:cs="宋体"/>
          <w:color w:val="4B4B4B"/>
          <w:kern w:val="0"/>
          <w:szCs w:val="21"/>
        </w:rPr>
        <w:t>0755</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82763889</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联系人：鲍文革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南方基金管理有限公司是经中国证监会证监基字</w:t>
      </w:r>
      <w:r w:rsidRPr="00417752">
        <w:rPr>
          <w:rFonts w:ascii="Verdana" w:eastAsia="宋体" w:hAnsi="Verdana" w:cs="宋体"/>
          <w:color w:val="4B4B4B"/>
          <w:kern w:val="0"/>
          <w:szCs w:val="21"/>
        </w:rPr>
        <w:t>[1998]4</w:t>
      </w:r>
      <w:r w:rsidRPr="00417752">
        <w:rPr>
          <w:rFonts w:ascii="Verdana" w:eastAsia="宋体" w:hAnsi="Verdana" w:cs="宋体"/>
          <w:color w:val="4B4B4B"/>
          <w:kern w:val="0"/>
          <w:szCs w:val="21"/>
        </w:rPr>
        <w:t>号文批准，由南方证券有限公司、厦门国际信托投资公司、广西信托投资公司共同发起设立。</w:t>
      </w:r>
      <w:r w:rsidRPr="00417752">
        <w:rPr>
          <w:rFonts w:ascii="Verdana" w:eastAsia="宋体" w:hAnsi="Verdana" w:cs="宋体"/>
          <w:color w:val="4B4B4B"/>
          <w:kern w:val="0"/>
          <w:szCs w:val="21"/>
        </w:rPr>
        <w:t>2000</w:t>
      </w:r>
      <w:r w:rsidRPr="00417752">
        <w:rPr>
          <w:rFonts w:ascii="Verdana" w:eastAsia="宋体" w:hAnsi="Verdana" w:cs="宋体"/>
          <w:color w:val="4B4B4B"/>
          <w:kern w:val="0"/>
          <w:szCs w:val="21"/>
        </w:rPr>
        <w:t>年，经中国证监会证监基金字</w:t>
      </w:r>
      <w:r w:rsidRPr="00417752">
        <w:rPr>
          <w:rFonts w:ascii="Verdana" w:eastAsia="宋体" w:hAnsi="Verdana" w:cs="宋体"/>
          <w:color w:val="4B4B4B"/>
          <w:kern w:val="0"/>
          <w:szCs w:val="21"/>
        </w:rPr>
        <w:t>[2000]78</w:t>
      </w:r>
      <w:r w:rsidRPr="00417752">
        <w:rPr>
          <w:rFonts w:ascii="Verdana" w:eastAsia="宋体" w:hAnsi="Verdana" w:cs="宋体"/>
          <w:color w:val="4B4B4B"/>
          <w:kern w:val="0"/>
          <w:szCs w:val="21"/>
        </w:rPr>
        <w:t>号文批准进行了增资扩股，注册资本达到</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亿元人民币。</w:t>
      </w:r>
      <w:r w:rsidRPr="00417752">
        <w:rPr>
          <w:rFonts w:ascii="Verdana" w:eastAsia="宋体" w:hAnsi="Verdana" w:cs="宋体"/>
          <w:color w:val="4B4B4B"/>
          <w:kern w:val="0"/>
          <w:szCs w:val="21"/>
        </w:rPr>
        <w:t>2005</w:t>
      </w:r>
      <w:r w:rsidRPr="00417752">
        <w:rPr>
          <w:rFonts w:ascii="Verdana" w:eastAsia="宋体" w:hAnsi="Verdana" w:cs="宋体"/>
          <w:color w:val="4B4B4B"/>
          <w:kern w:val="0"/>
          <w:szCs w:val="21"/>
        </w:rPr>
        <w:t>年，经中国证监会证监基金字</w:t>
      </w:r>
      <w:r w:rsidRPr="00417752">
        <w:rPr>
          <w:rFonts w:ascii="Verdana" w:eastAsia="宋体" w:hAnsi="Verdana" w:cs="宋体"/>
          <w:color w:val="4B4B4B"/>
          <w:kern w:val="0"/>
          <w:szCs w:val="21"/>
        </w:rPr>
        <w:t>[2005]201</w:t>
      </w:r>
      <w:r w:rsidRPr="00417752">
        <w:rPr>
          <w:rFonts w:ascii="Verdana" w:eastAsia="宋体" w:hAnsi="Verdana" w:cs="宋体"/>
          <w:color w:val="4B4B4B"/>
          <w:kern w:val="0"/>
          <w:szCs w:val="21"/>
        </w:rPr>
        <w:t>号文批准进行增资扩股，注册资本达</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亿元人民币。</w:t>
      </w:r>
      <w:r w:rsidRPr="00417752">
        <w:rPr>
          <w:rFonts w:ascii="Verdana" w:eastAsia="宋体" w:hAnsi="Verdana" w:cs="宋体"/>
          <w:color w:val="4B4B4B"/>
          <w:kern w:val="0"/>
          <w:szCs w:val="21"/>
        </w:rPr>
        <w:t>2010</w:t>
      </w:r>
      <w:r w:rsidRPr="00417752">
        <w:rPr>
          <w:rFonts w:ascii="Verdana" w:eastAsia="宋体" w:hAnsi="Verdana" w:cs="宋体"/>
          <w:color w:val="4B4B4B"/>
          <w:kern w:val="0"/>
          <w:szCs w:val="21"/>
        </w:rPr>
        <w:t>年，经证监许可</w:t>
      </w:r>
      <w:r w:rsidRPr="00417752">
        <w:rPr>
          <w:rFonts w:ascii="Verdana" w:eastAsia="宋体" w:hAnsi="Verdana" w:cs="宋体"/>
          <w:color w:val="4B4B4B"/>
          <w:kern w:val="0"/>
          <w:szCs w:val="21"/>
        </w:rPr>
        <w:t>[2010]1073</w:t>
      </w:r>
      <w:r w:rsidRPr="00417752">
        <w:rPr>
          <w:rFonts w:ascii="Verdana" w:eastAsia="宋体" w:hAnsi="Verdana" w:cs="宋体"/>
          <w:color w:val="4B4B4B"/>
          <w:kern w:val="0"/>
          <w:szCs w:val="21"/>
        </w:rPr>
        <w:t>号文核准深圳市机场（集团）有限公司将其持有的</w:t>
      </w:r>
      <w:r w:rsidRPr="00417752">
        <w:rPr>
          <w:rFonts w:ascii="Verdana" w:eastAsia="宋体" w:hAnsi="Verdana" w:cs="宋体"/>
          <w:color w:val="4B4B4B"/>
          <w:kern w:val="0"/>
          <w:szCs w:val="21"/>
        </w:rPr>
        <w:t>30%</w:t>
      </w:r>
      <w:r w:rsidRPr="00417752">
        <w:rPr>
          <w:rFonts w:ascii="Verdana" w:eastAsia="宋体" w:hAnsi="Verdana" w:cs="宋体"/>
          <w:color w:val="4B4B4B"/>
          <w:kern w:val="0"/>
          <w:szCs w:val="21"/>
        </w:rPr>
        <w:t>股权转让给深圳市投资控股有限公司。</w:t>
      </w:r>
      <w:r w:rsidRPr="00417752">
        <w:rPr>
          <w:rFonts w:ascii="Verdana" w:eastAsia="宋体" w:hAnsi="Verdana" w:cs="宋体"/>
          <w:color w:val="4B4B4B"/>
          <w:kern w:val="0"/>
          <w:szCs w:val="21"/>
        </w:rPr>
        <w:t>2014</w:t>
      </w:r>
      <w:r w:rsidRPr="00417752">
        <w:rPr>
          <w:rFonts w:ascii="Verdana" w:eastAsia="宋体" w:hAnsi="Verdana" w:cs="宋体"/>
          <w:color w:val="4B4B4B"/>
          <w:kern w:val="0"/>
          <w:szCs w:val="21"/>
        </w:rPr>
        <w:t>年公司进行增资扩股，注册资本金达</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亿元人民币。目前股权结构：华泰证券股份有限公司</w:t>
      </w:r>
      <w:r w:rsidRPr="00417752">
        <w:rPr>
          <w:rFonts w:ascii="Verdana" w:eastAsia="宋体" w:hAnsi="Verdana" w:cs="宋体"/>
          <w:color w:val="4B4B4B"/>
          <w:kern w:val="0"/>
          <w:szCs w:val="21"/>
        </w:rPr>
        <w:t>45%</w:t>
      </w:r>
      <w:r w:rsidRPr="00417752">
        <w:rPr>
          <w:rFonts w:ascii="Verdana" w:eastAsia="宋体" w:hAnsi="Verdana" w:cs="宋体"/>
          <w:color w:val="4B4B4B"/>
          <w:kern w:val="0"/>
          <w:szCs w:val="21"/>
        </w:rPr>
        <w:t>、深圳市投资控股有限公司</w:t>
      </w:r>
      <w:r w:rsidRPr="00417752">
        <w:rPr>
          <w:rFonts w:ascii="Verdana" w:eastAsia="宋体" w:hAnsi="Verdana" w:cs="宋体"/>
          <w:color w:val="4B4B4B"/>
          <w:kern w:val="0"/>
          <w:szCs w:val="21"/>
        </w:rPr>
        <w:t>30%</w:t>
      </w:r>
      <w:r w:rsidRPr="00417752">
        <w:rPr>
          <w:rFonts w:ascii="Verdana" w:eastAsia="宋体" w:hAnsi="Verdana" w:cs="宋体"/>
          <w:color w:val="4B4B4B"/>
          <w:kern w:val="0"/>
          <w:szCs w:val="21"/>
        </w:rPr>
        <w:t>、厦门国际信托有限公司</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及兴业证券股份有限公司</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二、主要人员情况</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、董事会成员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张涛先生，董事，中共党员，毕业于河海大学技术经济及管理专业，获博士学位。</w:t>
      </w:r>
      <w:r w:rsidRPr="00417752">
        <w:rPr>
          <w:rFonts w:ascii="Verdana" w:eastAsia="宋体" w:hAnsi="Verdana" w:cs="宋体"/>
          <w:color w:val="4B4B4B"/>
          <w:kern w:val="0"/>
          <w:szCs w:val="21"/>
        </w:rPr>
        <w:t>1994</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月加入华泰证券，历任总裁秘书、投资银行一部业务经理、上海总部投资银行业务部副总经理、公司董事会秘书、总裁助理兼董事会办公室主任、副总裁、党委委员。现任华泰证券股份有限公司副总裁、党委委员；华泰长城期货有限公司董事长、华泰金融控股（香港）有限公司董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姜健先生，董事，中共党员，毕业于南京林业大学经济及管理专业，获硕士学位。</w:t>
      </w:r>
      <w:r w:rsidRPr="00417752">
        <w:rPr>
          <w:rFonts w:ascii="Verdana" w:eastAsia="宋体" w:hAnsi="Verdana" w:cs="宋体"/>
          <w:color w:val="4B4B4B"/>
          <w:kern w:val="0"/>
          <w:szCs w:val="21"/>
        </w:rPr>
        <w:t>1994</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月加入华泰证券并一直在华泰证券工作，历任人事处职员、人事处培训教育科科长、</w:t>
      </w:r>
      <w:r w:rsidRPr="00417752">
        <w:rPr>
          <w:rFonts w:ascii="Verdana" w:eastAsia="宋体" w:hAnsi="Verdana" w:cs="宋体"/>
          <w:color w:val="4B4B4B"/>
          <w:kern w:val="0"/>
          <w:szCs w:val="21"/>
        </w:rPr>
        <w:lastRenderedPageBreak/>
        <w:t>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夏桂英女士，董事，中共党员，高级经济师，</w:t>
      </w:r>
      <w:r w:rsidRPr="00417752">
        <w:rPr>
          <w:rFonts w:ascii="Verdana" w:eastAsia="宋体" w:hAnsi="Verdana" w:cs="宋体"/>
          <w:color w:val="4B4B4B"/>
          <w:kern w:val="0"/>
          <w:szCs w:val="21"/>
        </w:rPr>
        <w:t>26</w:t>
      </w:r>
      <w:r w:rsidRPr="00417752">
        <w:rPr>
          <w:rFonts w:ascii="Verdana" w:eastAsia="宋体" w:hAnsi="Verdana" w:cs="宋体"/>
          <w:color w:val="4B4B4B"/>
          <w:kern w:val="0"/>
          <w:szCs w:val="21"/>
        </w:rPr>
        <w:t>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w:t>
      </w:r>
      <w:r w:rsidRPr="00417752">
        <w:rPr>
          <w:rFonts w:ascii="Verdana" w:eastAsia="宋体" w:hAnsi="Verdana" w:cs="宋体"/>
          <w:color w:val="4B4B4B"/>
          <w:kern w:val="0"/>
          <w:szCs w:val="21"/>
        </w:rPr>
        <w:t>2004</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杨小松先生，总裁，中共党员，经济学硕士，注册会计师。历任德勤国际会计师行会计专业翻译，光大银行证券部职员，美国</w:t>
      </w:r>
      <w:r w:rsidRPr="00417752">
        <w:rPr>
          <w:rFonts w:ascii="Verdana" w:eastAsia="宋体" w:hAnsi="Verdana" w:cs="宋体"/>
          <w:color w:val="4B4B4B"/>
          <w:kern w:val="0"/>
          <w:szCs w:val="21"/>
        </w:rPr>
        <w:t>NASDAQ</w:t>
      </w:r>
      <w:r w:rsidRPr="00417752">
        <w:rPr>
          <w:rFonts w:ascii="Verdana" w:eastAsia="宋体" w:hAnsi="Verdana" w:cs="宋体"/>
          <w:color w:val="4B4B4B"/>
          <w:kern w:val="0"/>
          <w:szCs w:val="21"/>
        </w:rPr>
        <w:t>实习职员，证监会处长、副主任。</w:t>
      </w:r>
      <w:r w:rsidRPr="00417752">
        <w:rPr>
          <w:rFonts w:ascii="Verdana" w:eastAsia="宋体" w:hAnsi="Verdana" w:cs="宋体"/>
          <w:color w:val="4B4B4B"/>
          <w:kern w:val="0"/>
          <w:szCs w:val="21"/>
        </w:rPr>
        <w:t>2012</w:t>
      </w:r>
      <w:r w:rsidRPr="00417752">
        <w:rPr>
          <w:rFonts w:ascii="Verdana" w:eastAsia="宋体" w:hAnsi="Verdana" w:cs="宋体"/>
          <w:color w:val="4B4B4B"/>
          <w:kern w:val="0"/>
          <w:szCs w:val="21"/>
        </w:rPr>
        <w:t>年加入南方基金，担任督察长，现任南方基金管理有限公司董事、总裁、党委副书记。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sidRPr="00417752">
        <w:rPr>
          <w:rFonts w:ascii="Verdana" w:eastAsia="宋体" w:hAnsi="Verdana" w:cs="宋体"/>
          <w:color w:val="4B4B4B"/>
          <w:kern w:val="0"/>
          <w:szCs w:val="21"/>
        </w:rPr>
        <w:t>50</w:t>
      </w:r>
      <w:r w:rsidRPr="00417752">
        <w:rPr>
          <w:rFonts w:ascii="Verdana" w:eastAsia="宋体" w:hAnsi="Verdana" w:cs="宋体"/>
          <w:color w:val="4B4B4B"/>
          <w:kern w:val="0"/>
          <w:szCs w:val="21"/>
        </w:rPr>
        <w:t>人论坛成员，中国统计学会副会长。</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李心丹先生，独立董事，金融学博士，国务院特殊津贴专家，国务院学位委员会、教育部全国金融硕士专业学位教学指导委员会委员。历任东南大学经济管理学院助教、讲师、副</w:t>
      </w:r>
      <w:r w:rsidRPr="00417752">
        <w:rPr>
          <w:rFonts w:ascii="Verdana" w:eastAsia="宋体" w:hAnsi="Verdana" w:cs="宋体"/>
          <w:color w:val="4B4B4B"/>
          <w:kern w:val="0"/>
          <w:szCs w:val="21"/>
        </w:rPr>
        <w:lastRenderedPageBreak/>
        <w:t>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周锦涛先生，独立董事，工商管理博士，香港证券及投资学会高级资深会员。曾任职香港警务处</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商业罪案调查科</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郑建彪先生，独立董事，中共党员，经济学硕士，</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、监事会成员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骆新都女士，监事，经济学硕士，经济师。历任民政部外事处处长、南方证券有限公司副总裁、南方基金管理有限公司董事长、顾问；现任南方基金管理有限公司监事会主席。</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舒本娥女士，监事，</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年的证券行业从业经历。毕业于杭州电子工业学院会计专业，获学士学位。曾任职于熊猫电子集团公司，担任财务处处长工作。</w:t>
      </w:r>
      <w:r w:rsidRPr="00417752">
        <w:rPr>
          <w:rFonts w:ascii="Verdana" w:eastAsia="宋体" w:hAnsi="Verdana" w:cs="宋体"/>
          <w:color w:val="4B4B4B"/>
          <w:kern w:val="0"/>
          <w:szCs w:val="21"/>
        </w:rPr>
        <w:t>1998</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月加入华泰证券，历任计划资金部副总经理、稽查监察部副总经理、总经理、计划财务部总经理。现任华泰证券股份有限公司财务负责人、计划财务部总经理；华泰联合证券有限责任公司监事会主席、华泰长城期货有限公司副董事长、华泰紫金投资有限责任公司董事、华泰瑞通投资管理有限公司董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姜丽花女士，监事，中共党员，高级会计师，大学本科毕业于深圳广播电视大学会计学专业。曾在浙江兰溪马间专厂、浙江兰溪纺织机械厂、深圳市建筑机械动力公司、深圳市建设集团、深圳市建设投资控股公司工作，</w:t>
      </w:r>
      <w:r w:rsidRPr="00417752">
        <w:rPr>
          <w:rFonts w:ascii="Verdana" w:eastAsia="宋体" w:hAnsi="Verdana" w:cs="宋体"/>
          <w:color w:val="4B4B4B"/>
          <w:kern w:val="0"/>
          <w:szCs w:val="21"/>
        </w:rPr>
        <w:t>2004</w:t>
      </w:r>
      <w:r w:rsidRPr="00417752">
        <w:rPr>
          <w:rFonts w:ascii="Verdana" w:eastAsia="宋体" w:hAnsi="Verdana" w:cs="宋体"/>
          <w:color w:val="4B4B4B"/>
          <w:kern w:val="0"/>
          <w:szCs w:val="21"/>
        </w:rPr>
        <w:t>年深圳市投资控股有限公司成立至今，历任公司计划财务部副经理、经理，财务预算部副部长，长期从事财务管理、投融资、股权管理、股东事务等工作，现任深圳市投资控股有限公司财务部部长，深圳市科实投资发展有限公司监事、深圳市国际招标有限公司董事、中国科技开发院有限公司监事、深圳市深福保（集团）有限公司监事、深圳经济特区房地产（集团）股份有限公司董事、深圳市建安（集团）股份有限公司董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苏荣坚先生，监事，中共党员，学士学位，高级经济师。历任三明市财政局、财委，厦门信达股份有限公司财务部、厦门国际信托投资公司财务部业务主办、副经理，自营业务部经理；现任厦门国际信托有限公司财务总监兼财务部总经理、南方基金管理有限公司监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林红珍女士</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监事，投资经济管理专业学士学位</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后参加人民大学金融学院研究生进修班。曾任厦门对外供应总公司会计、厦门中友贸易联合公司财务部副经理、厦门外供房地产开发公司财务部经理，</w:t>
      </w:r>
      <w:r w:rsidRPr="00417752">
        <w:rPr>
          <w:rFonts w:ascii="Verdana" w:eastAsia="宋体" w:hAnsi="Verdana" w:cs="宋体"/>
          <w:color w:val="4B4B4B"/>
          <w:kern w:val="0"/>
          <w:szCs w:val="21"/>
        </w:rPr>
        <w:t>1994</w:t>
      </w:r>
      <w:r w:rsidRPr="00417752">
        <w:rPr>
          <w:rFonts w:ascii="Verdana" w:eastAsia="宋体" w:hAnsi="Verdana" w:cs="宋体"/>
          <w:color w:val="4B4B4B"/>
          <w:kern w:val="0"/>
          <w:szCs w:val="21"/>
        </w:rPr>
        <w:t>年进入兴业证券，先后担任计财部财务综合组负责人、直属营业部财务部经理、财务会计部计划财务部经理、风险控制部总经理助理兼审计部经理、风险管理部副总监、稽核审计部副总监、风险管理部副总经理（主持工作）、</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兴业证券风险管理部总经理，现任兴业证券股份有限公司财务部总经理、兴业创新资本管理有限公司监事。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张德伦先生，职工监事，中共党员，硕士学历。历任北京邮电大学副教授、华为技术有限公司处长、汉唐证券人力资源部总经理、海王生物人力资源总监、华信惠悦咨询公司副总经理、首席顾问，</w:t>
      </w:r>
      <w:r w:rsidRPr="00417752">
        <w:rPr>
          <w:rFonts w:ascii="Verdana" w:eastAsia="宋体" w:hAnsi="Verdana" w:cs="宋体"/>
          <w:color w:val="4B4B4B"/>
          <w:kern w:val="0"/>
          <w:szCs w:val="21"/>
        </w:rPr>
        <w:t>2010</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月加入南方基金管理有限公司，现任人力资源部总监。</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林斯彬先生，职工监事，民商法专业硕士，先后担任金杜律师事务所证券业务部实习律师、浦东发展银行深圳分行资产保全部职员、银华基金管理有限公司监察稽核部法务主管、民生加银基金管理有限公司监察稽核部职员，</w:t>
      </w:r>
      <w:r w:rsidRPr="00417752">
        <w:rPr>
          <w:rFonts w:ascii="Verdana" w:eastAsia="宋体" w:hAnsi="Verdana" w:cs="宋体"/>
          <w:color w:val="4B4B4B"/>
          <w:kern w:val="0"/>
          <w:szCs w:val="21"/>
        </w:rPr>
        <w:t>2008</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月加入南方基金管理有限公司，历任监察稽核部经理、高级经理、总监助理，现任监察稽核部副总监。</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、公司高管人员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杨小松先生，总裁，中共党员，经济学硕士，注册会计师。历任德勤国际会计师行会计专业翻译，光大银行证券部职员，美国</w:t>
      </w:r>
      <w:r w:rsidRPr="00417752">
        <w:rPr>
          <w:rFonts w:ascii="Verdana" w:eastAsia="宋体" w:hAnsi="Verdana" w:cs="宋体"/>
          <w:color w:val="4B4B4B"/>
          <w:kern w:val="0"/>
          <w:szCs w:val="21"/>
        </w:rPr>
        <w:t>NASDAQ</w:t>
      </w:r>
      <w:r w:rsidRPr="00417752">
        <w:rPr>
          <w:rFonts w:ascii="Verdana" w:eastAsia="宋体" w:hAnsi="Verdana" w:cs="宋体"/>
          <w:color w:val="4B4B4B"/>
          <w:kern w:val="0"/>
          <w:szCs w:val="21"/>
        </w:rPr>
        <w:t>实习职员，证监会处长、副主任。</w:t>
      </w:r>
      <w:r w:rsidRPr="00417752">
        <w:rPr>
          <w:rFonts w:ascii="Verdana" w:eastAsia="宋体" w:hAnsi="Verdana" w:cs="宋体"/>
          <w:color w:val="4B4B4B"/>
          <w:kern w:val="0"/>
          <w:szCs w:val="21"/>
        </w:rPr>
        <w:t>2012</w:t>
      </w:r>
      <w:r w:rsidRPr="00417752">
        <w:rPr>
          <w:rFonts w:ascii="Verdana" w:eastAsia="宋体" w:hAnsi="Verdana" w:cs="宋体"/>
          <w:color w:val="4B4B4B"/>
          <w:kern w:val="0"/>
          <w:szCs w:val="21"/>
        </w:rPr>
        <w:t>年加入南方基金，担任督察长，现任南方基金管理有限公司董事、总裁、党委副书记。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俞文宏先生，副总裁，中共党员，工商管理硕士，经济师，历任江苏省投资公司业务经理、江苏国际招商公司部门经理、江苏省国际信托投资公司投资银行部总经理、江苏国信高科技创业投资有限公司董事长兼总经理。</w:t>
      </w:r>
      <w:r w:rsidRPr="00417752">
        <w:rPr>
          <w:rFonts w:ascii="Verdana" w:eastAsia="宋体" w:hAnsi="Verdana" w:cs="宋体"/>
          <w:color w:val="4B4B4B"/>
          <w:kern w:val="0"/>
          <w:szCs w:val="21"/>
        </w:rPr>
        <w:t>2003</w:t>
      </w:r>
      <w:r w:rsidRPr="00417752">
        <w:rPr>
          <w:rFonts w:ascii="Verdana" w:eastAsia="宋体" w:hAnsi="Verdana" w:cs="宋体"/>
          <w:color w:val="4B4B4B"/>
          <w:kern w:val="0"/>
          <w:szCs w:val="21"/>
        </w:rPr>
        <w:t>年加入南方基金，现任南方基金管理有限公司副总裁、党委委员、南方资本管理有限公司董事长兼总经理。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郑文祥先生，副总裁，工商管理硕士。曾任职于湖北省荆州市</w:t>
      </w:r>
      <w:hyperlink r:id="rId29" w:tgtFrame="_blank" w:history="1">
        <w:r w:rsidRPr="00417752">
          <w:rPr>
            <w:rFonts w:ascii="Verdana" w:eastAsia="宋体" w:hAnsi="Verdana" w:cs="宋体"/>
            <w:color w:val="4B4B4B"/>
            <w:kern w:val="0"/>
            <w:szCs w:val="21"/>
          </w:rPr>
          <w:t>农业银行</w:t>
        </w:r>
      </w:hyperlink>
      <w:r w:rsidRPr="00417752">
        <w:rPr>
          <w:rFonts w:ascii="Verdana" w:eastAsia="宋体" w:hAnsi="Verdana" w:cs="宋体"/>
          <w:color w:val="4B4B4B"/>
          <w:kern w:val="0"/>
          <w:szCs w:val="21"/>
        </w:rPr>
        <w:t>、南方证券公司、国泰君安证券公司。</w:t>
      </w:r>
      <w:r w:rsidRPr="00417752">
        <w:rPr>
          <w:rFonts w:ascii="Verdana" w:eastAsia="宋体" w:hAnsi="Verdana" w:cs="宋体"/>
          <w:color w:val="4B4B4B"/>
          <w:kern w:val="0"/>
          <w:szCs w:val="21"/>
        </w:rPr>
        <w:t>2000</w:t>
      </w:r>
      <w:r w:rsidRPr="00417752">
        <w:rPr>
          <w:rFonts w:ascii="Verdana" w:eastAsia="宋体" w:hAnsi="Verdana" w:cs="宋体"/>
          <w:color w:val="4B4B4B"/>
          <w:kern w:val="0"/>
          <w:szCs w:val="21"/>
        </w:rPr>
        <w:t>年加入南方基金，历任国债投资经理、专户理财部副总监、南方避险增值基金基金经理、总经理助理兼养老金业务部总监，现任南方基金管理有限公司副总裁。</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朱运东先生，副总裁，中共党员，经济学学士。曾任职于财政部地方预算司及办公厅、中国经济开发信托投资公司，</w:t>
      </w:r>
      <w:r w:rsidRPr="00417752">
        <w:rPr>
          <w:rFonts w:ascii="Verdana" w:eastAsia="宋体" w:hAnsi="Verdana" w:cs="宋体"/>
          <w:color w:val="4B4B4B"/>
          <w:kern w:val="0"/>
          <w:szCs w:val="21"/>
        </w:rPr>
        <w:t>2002</w:t>
      </w:r>
      <w:r w:rsidRPr="00417752">
        <w:rPr>
          <w:rFonts w:ascii="Verdana" w:eastAsia="宋体" w:hAnsi="Verdana" w:cs="宋体"/>
          <w:color w:val="4B4B4B"/>
          <w:kern w:val="0"/>
          <w:szCs w:val="21"/>
        </w:rPr>
        <w:t>年加入南方基金，历任北京分公司总经理、产品开发部总监、总裁助理、首席市场执行官，现任南方基金管理有限公司副总裁、党委委员。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秦长奎先生，副总裁，中共党员，工商管理硕士。历任南京汽车制造厂经营计划处科员，华泰证券有限责任公司营业部总经理、总裁助理兼基金部总经理、投资银行总部副总经理兼债券部总经理。</w:t>
      </w:r>
      <w:r w:rsidRPr="00417752">
        <w:rPr>
          <w:rFonts w:ascii="Verdana" w:eastAsia="宋体" w:hAnsi="Verdana" w:cs="宋体"/>
          <w:color w:val="4B4B4B"/>
          <w:kern w:val="0"/>
          <w:szCs w:val="21"/>
        </w:rPr>
        <w:t>2005</w:t>
      </w:r>
      <w:r w:rsidRPr="00417752">
        <w:rPr>
          <w:rFonts w:ascii="Verdana" w:eastAsia="宋体" w:hAnsi="Verdana" w:cs="宋体"/>
          <w:color w:val="4B4B4B"/>
          <w:kern w:val="0"/>
          <w:szCs w:val="21"/>
        </w:rPr>
        <w:t>年加入南方基金，曾任督察长兼监察稽核部总监，现任南方基金管理有限公司副总裁、纪委委员。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鲍文革先生，督察长，中国民主同盟盟员，经济学硕士。历任财政部中华会计师事务所审计师，南方证券有限公司投行部及计划财务部总经理助理，</w:t>
      </w:r>
      <w:r w:rsidRPr="00417752">
        <w:rPr>
          <w:rFonts w:ascii="Verdana" w:eastAsia="宋体" w:hAnsi="Verdana" w:cs="宋体"/>
          <w:color w:val="4B4B4B"/>
          <w:kern w:val="0"/>
          <w:szCs w:val="21"/>
        </w:rPr>
        <w:t>1998</w:t>
      </w:r>
      <w:r w:rsidRPr="00417752">
        <w:rPr>
          <w:rFonts w:ascii="Verdana" w:eastAsia="宋体" w:hAnsi="Verdana" w:cs="宋体"/>
          <w:color w:val="4B4B4B"/>
          <w:kern w:val="0"/>
          <w:szCs w:val="21"/>
        </w:rPr>
        <w:t>年加入南方基金，历任运作保障部总监、公司监事、财务负责人、总经理助理，现任南方基金管理有限公司督察长、南方资本管理有限公司董事。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常克川先生，副总裁，中共党员，</w:t>
      </w:r>
      <w:r w:rsidRPr="00417752">
        <w:rPr>
          <w:rFonts w:ascii="Verdana" w:eastAsia="宋体" w:hAnsi="Verdana" w:cs="宋体"/>
          <w:color w:val="4B4B4B"/>
          <w:kern w:val="0"/>
          <w:szCs w:val="21"/>
        </w:rPr>
        <w:t>EMBA</w:t>
      </w:r>
      <w:r w:rsidRPr="00417752">
        <w:rPr>
          <w:rFonts w:ascii="Verdana" w:eastAsia="宋体" w:hAnsi="Verdana" w:cs="宋体"/>
          <w:color w:val="4B4B4B"/>
          <w:kern w:val="0"/>
          <w:szCs w:val="21"/>
        </w:rPr>
        <w:t>工商管理硕士。历任中国农业银行副处级秘书，南方证券有限责任公司投资业务部总经理、沈阳分公司总经理、总裁助理，联合证券（现为华泰联合证券）董事会秘书、合规总监等职务；</w:t>
      </w:r>
      <w:r w:rsidRPr="00417752">
        <w:rPr>
          <w:rFonts w:ascii="Verdana" w:eastAsia="宋体" w:hAnsi="Verdana" w:cs="宋体"/>
          <w:color w:val="4B4B4B"/>
          <w:kern w:val="0"/>
          <w:szCs w:val="21"/>
        </w:rPr>
        <w:t>2011</w:t>
      </w:r>
      <w:r w:rsidRPr="00417752">
        <w:rPr>
          <w:rFonts w:ascii="Verdana" w:eastAsia="宋体" w:hAnsi="Verdana" w:cs="宋体"/>
          <w:color w:val="4B4B4B"/>
          <w:kern w:val="0"/>
          <w:szCs w:val="21"/>
        </w:rPr>
        <w:t>年加入南方基金，任职董事会秘书、纪委书记，现任南方基金管理有限公司副总裁、董事会秘书、纪委书记、南方资本管理有限公司董事。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李海鹏先生，副总裁，工商管理硕士。曾任美国</w:t>
      </w:r>
      <w:r w:rsidRPr="00417752">
        <w:rPr>
          <w:rFonts w:ascii="Verdana" w:eastAsia="宋体" w:hAnsi="Verdana" w:cs="宋体"/>
          <w:color w:val="4B4B4B"/>
          <w:kern w:val="0"/>
          <w:szCs w:val="21"/>
        </w:rPr>
        <w:t xml:space="preserve">AXA Financial </w:t>
      </w:r>
      <w:r w:rsidRPr="00417752">
        <w:rPr>
          <w:rFonts w:ascii="Verdana" w:eastAsia="宋体" w:hAnsi="Verdana" w:cs="宋体"/>
          <w:color w:val="4B4B4B"/>
          <w:kern w:val="0"/>
          <w:szCs w:val="21"/>
        </w:rPr>
        <w:t>公司投资部高级分析师，</w:t>
      </w:r>
      <w:r w:rsidRPr="00417752">
        <w:rPr>
          <w:rFonts w:ascii="Verdana" w:eastAsia="宋体" w:hAnsi="Verdana" w:cs="宋体"/>
          <w:color w:val="4B4B4B"/>
          <w:kern w:val="0"/>
          <w:szCs w:val="21"/>
        </w:rPr>
        <w:t>2002</w:t>
      </w:r>
      <w:r w:rsidRPr="00417752">
        <w:rPr>
          <w:rFonts w:ascii="Verdana" w:eastAsia="宋体" w:hAnsi="Verdana" w:cs="宋体"/>
          <w:color w:val="4B4B4B"/>
          <w:kern w:val="0"/>
          <w:szCs w:val="21"/>
        </w:rPr>
        <w:t>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、基金经理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雷俊先生，北京大学工学硕士，具有基金从业资格。</w:t>
      </w:r>
      <w:r w:rsidRPr="00417752">
        <w:rPr>
          <w:rFonts w:ascii="Verdana" w:eastAsia="宋体" w:hAnsi="Verdana" w:cs="宋体"/>
          <w:color w:val="4B4B4B"/>
          <w:kern w:val="0"/>
          <w:szCs w:val="21"/>
        </w:rPr>
        <w:t>2008</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月加入南方基金，历任信息技术部投研系统研发员、数量化投资部高级研究员；</w:t>
      </w:r>
      <w:r w:rsidRPr="00417752">
        <w:rPr>
          <w:rFonts w:ascii="Verdana" w:eastAsia="宋体" w:hAnsi="Verdana" w:cs="宋体"/>
          <w:color w:val="4B4B4B"/>
          <w:kern w:val="0"/>
          <w:szCs w:val="21"/>
        </w:rPr>
        <w:t>2014</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月至今，任南方恒生基金经理；</w:t>
      </w:r>
      <w:r w:rsidRPr="00417752">
        <w:rPr>
          <w:rFonts w:ascii="Verdana" w:eastAsia="宋体" w:hAnsi="Verdana" w:cs="宋体"/>
          <w:color w:val="4B4B4B"/>
          <w:kern w:val="0"/>
          <w:szCs w:val="21"/>
        </w:rPr>
        <w:t>2015</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月至今，任中证</w:t>
      </w:r>
      <w:r w:rsidRPr="00417752">
        <w:rPr>
          <w:rFonts w:ascii="Verdana" w:eastAsia="宋体" w:hAnsi="Verdana" w:cs="宋体"/>
          <w:color w:val="4B4B4B"/>
          <w:kern w:val="0"/>
          <w:szCs w:val="21"/>
        </w:rPr>
        <w:t>500</w:t>
      </w:r>
      <w:r w:rsidRPr="00417752">
        <w:rPr>
          <w:rFonts w:ascii="Verdana" w:eastAsia="宋体" w:hAnsi="Verdana" w:cs="宋体"/>
          <w:color w:val="4B4B4B"/>
          <w:kern w:val="0"/>
          <w:szCs w:val="21"/>
        </w:rPr>
        <w:t>工业、中证</w:t>
      </w:r>
      <w:r w:rsidRPr="00417752">
        <w:rPr>
          <w:rFonts w:ascii="Verdana" w:eastAsia="宋体" w:hAnsi="Verdana" w:cs="宋体"/>
          <w:color w:val="4B4B4B"/>
          <w:kern w:val="0"/>
          <w:szCs w:val="21"/>
        </w:rPr>
        <w:t>500</w:t>
      </w:r>
      <w:r w:rsidRPr="00417752">
        <w:rPr>
          <w:rFonts w:ascii="Verdana" w:eastAsia="宋体" w:hAnsi="Verdana" w:cs="宋体"/>
          <w:color w:val="4B4B4B"/>
          <w:kern w:val="0"/>
          <w:szCs w:val="21"/>
        </w:rPr>
        <w:t>原材料、南方大数据</w:t>
      </w:r>
      <w:r w:rsidRPr="00417752">
        <w:rPr>
          <w:rFonts w:ascii="Verdana" w:eastAsia="宋体" w:hAnsi="Verdana" w:cs="宋体"/>
          <w:color w:val="4B4B4B"/>
          <w:kern w:val="0"/>
          <w:szCs w:val="21"/>
        </w:rPr>
        <w:t>100</w:t>
      </w:r>
      <w:r w:rsidRPr="00417752">
        <w:rPr>
          <w:rFonts w:ascii="Verdana" w:eastAsia="宋体" w:hAnsi="Verdana" w:cs="宋体"/>
          <w:color w:val="4B4B4B"/>
          <w:kern w:val="0"/>
          <w:szCs w:val="21"/>
        </w:rPr>
        <w:t>基金经理。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、投资决策委员会成员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总裁杨小松先生，副总裁兼固定收益投资总监、南方东英资产管理有限公司（香港）董事李海鹏先生，总裁助理兼权益投资总监史博先生，交易管理部总监王珂女士，投资部总监陈键先生，专户投资管理部总监蒋峰先生，固定收益部总监韩亚庆先生。</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、上述人员之间不存在近亲属关系。</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三、基金管理人的职责</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）依法募集资金，办理或者委托经中国证监会认定的其他机构代为办理基金份额的发售、申购、赎回和登记事宜；</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）办理基金备案手续；</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）对所管理的不同基金财产分别管理、分别记账，进行证券投资；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）按照基金合同的约定确定基金收益分配方案，及时向基金份额持有人分配收益；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）进行基金会计核算并编制基金财务会计报告；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）编制季度、半年度和年度基金报告；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）计算并公告基金资产净值，确定基金份额申购、赎回价格；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）办理与基金财产管理业务活动有关的信息披露事项；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）按照规定召集基金份额持有人大会；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）保存基金财产管理业务活动的记录、账册、报表和其他相关资料；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11</w:t>
      </w:r>
      <w:r w:rsidRPr="00417752">
        <w:rPr>
          <w:rFonts w:ascii="Verdana" w:eastAsia="宋体" w:hAnsi="Verdana" w:cs="宋体"/>
          <w:color w:val="4B4B4B"/>
          <w:kern w:val="0"/>
          <w:szCs w:val="21"/>
        </w:rPr>
        <w:t>）以基金管理人名义，代表基金份额持有人利益行使诉讼权利或者实施其他法律行为；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）法律法规及中国证监会规定的和基金合同约定的其他职责。</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四、基金管理人关于遵守法律法规的承诺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、基金管理人承诺遵守《基金法》及其他相关法律法规的规定，建立健全的内部控制制度，采取有效措施，防止违反《基金法》及其他相关法律法规行为的发生。</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、基金管理人承诺不从事下列行为：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）将基金管理人固有财产或者他人财产混同于基金财产从事证券投资；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）不公平地对待管理的不同基金财产；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）利用基金财产或者职务之便为基金份额持有人以外的人牟取利益；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）向基金份额持有人违规承诺收益或者承担损失；</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）侵占、挪用基金财产；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）泄露因职务便利获取的未公开信息、利用该信息从事或者明示、暗示他人从事相关的交易活动；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）玩忽职守，不按照规定履行职责；</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）法律、行政法规和中国证监会规定禁止的其他行为。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五、基金管理人关于禁止性行为的承诺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为维护基金份额持有人的合法权益，本基金禁止从事下列行为：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、承销证券；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、违反规定向他人贷款或者提供担保；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、从事承担无限责任的投资；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、买卖其他基金份额，但是中国证监会另有规定的除外；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、向基金管理人、基金托管人出资；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、从事内幕交易、操纵证券交易价格及其他不正当的证券交易活动；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、法律、行政法规和中国证监会规定禁止的其他活动。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法律法规或监管部门取消上述限制，如适用于本基金，则本基金投资不再受相关限制。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六、基金经理承诺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、依照有关法律、法规和基金合同的规定，本着勤勉尽责的原则为基金份额持有人谋取最大利益；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、不能利用职务之便为自己、受雇人或基金份额持有人以外的人谋取利益；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、不泄露在任职期间知悉的有关证券、基金的商业秘密，尚未依法公开的基金投资内容、基金投资计划等信息，或利用该信息从事或者明示、暗示他人从事相关的交易活动；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、不以任何形式为其他组织或个人进行证券交易。</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七、基金管理人的内部控制制度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、内部控制制度概述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内部控制制度是指公司为实现内部控制目标而建立的一系列组织机制、管理方法、操作程序与控制措施的总称。内部控制制度由内部控制大纲、基本管理制度、部门业务规章等组成。</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公司内部控制大纲是对公司章程规定的内控原则的细化和展开，是对各项基本管理制度的总揽和指导，内部控制大纲明确了内控目标、内控原则、控制环境、内控措施等内容。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部门业务规章是在基本管理制度的基础上，对各部门的主要职责、岗位设置、岗位责任、操作守则等的具体说明。</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、内部控制原则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健全性原则。内部控制机制必须覆盖公司的各项业务、各个部门或机构和各级人员，并涵盖到决策、执行、监督、反馈等各个运作环节。</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有效性原则。通过科学的内控手段和方法，建立合理的内控程序，维护内控制度的有效执行。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独立性原则。公司各机构、部门和岗位在职能上应当保持相对独立，公司基金资产、自有资产、其他资产的运作应当分离。</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相互制约原则。公司内部部门和岗位的设置必须权责分明、相互制衡，并通过切实可行的措施来实行。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成本效益原则。公司应充分发挥各机构、各部门及各级员工的工作积极性，运用科学化的方法尽量降低经营运作成本，提高经济效益，以合理的控制成本达到最佳的内部控制效果。</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、主要内部控制制度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）内部会计控制制度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）风险管理控制制度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风险控制制度由风险控制委员会组织各部门制定，风险控制制度由风险控制的机构设置、风险控制的程序、风险控制的具体制度、风险控制制度执行情况的监督等部分组成。</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）监察稽核制度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公司设立督察长，负责监督检查基金和公司运作的合法合规情况及公司内部风险控制情况。督察长由总经理提名，董事会聘任，并经全体独立董事同意。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公司设立监察稽核部门，具体执行监察稽核工作。公司配备了充足合格的监察稽核人员，明确规定了监察稽核部门及内部各岗位的职责和工作流程。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32" w:name="_Toc360793848"/>
      <w:bookmarkStart w:id="33" w:name="_Toc360794098"/>
      <w:bookmarkStart w:id="34" w:name="_Toc360794406"/>
      <w:bookmarkStart w:id="35" w:name="_Toc360794514"/>
      <w:bookmarkStart w:id="36" w:name="_Toc362455181"/>
      <w:bookmarkStart w:id="37" w:name="_Toc362533453"/>
      <w:bookmarkStart w:id="38" w:name="_Toc416453843"/>
      <w:bookmarkStart w:id="39" w:name="_Toc360793496"/>
      <w:bookmarkEnd w:id="32"/>
      <w:bookmarkEnd w:id="33"/>
      <w:bookmarkEnd w:id="34"/>
      <w:bookmarkEnd w:id="35"/>
      <w:bookmarkEnd w:id="36"/>
      <w:bookmarkEnd w:id="37"/>
      <w:bookmarkEnd w:id="38"/>
      <w:r w:rsidRPr="00417752">
        <w:rPr>
          <w:rFonts w:ascii="Verdana" w:eastAsia="宋体" w:hAnsi="Verdana" w:cs="宋体"/>
          <w:b/>
          <w:bCs/>
          <w:color w:val="4B4B4B"/>
          <w:kern w:val="0"/>
          <w:szCs w:val="21"/>
        </w:rPr>
        <w:t>四、</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基金托管人</w:t>
      </w:r>
      <w:bookmarkEnd w:id="39"/>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一、基本情况</w:t>
      </w:r>
      <w:r w:rsidRPr="00417752">
        <w:rPr>
          <w:rFonts w:ascii="Verdana" w:eastAsia="宋体" w:hAnsi="Verdana" w:cs="宋体"/>
          <w:b/>
          <w:bCs/>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名称：中国银行股份有限公司（简称</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中国银行</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住所及办公地址：北京市西城区复兴门内大街</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号</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首次注册登记日期：</w:t>
      </w:r>
      <w:r w:rsidRPr="00417752">
        <w:rPr>
          <w:rFonts w:ascii="Verdana" w:eastAsia="宋体" w:hAnsi="Verdana" w:cs="宋体"/>
          <w:color w:val="4B4B4B"/>
          <w:kern w:val="0"/>
          <w:szCs w:val="21"/>
        </w:rPr>
        <w:t>1983</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31</w:t>
      </w:r>
      <w:r w:rsidRPr="00417752">
        <w:rPr>
          <w:rFonts w:ascii="Verdana" w:eastAsia="宋体" w:hAnsi="Verdana" w:cs="宋体"/>
          <w:color w:val="4B4B4B"/>
          <w:kern w:val="0"/>
          <w:szCs w:val="21"/>
        </w:rPr>
        <w:t>日</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注册资本：人民币贰仟柒佰玖拾叁亿陆仟肆佰陆拾万陆仟叁佰叁拾元整</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法定代表人：田国立</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基金托管业务批准文号：中国证监会证监基字【</w:t>
      </w:r>
      <w:r w:rsidRPr="00417752">
        <w:rPr>
          <w:rFonts w:ascii="Verdana" w:eastAsia="宋体" w:hAnsi="Verdana" w:cs="宋体"/>
          <w:color w:val="4B4B4B"/>
          <w:kern w:val="0"/>
          <w:szCs w:val="21"/>
        </w:rPr>
        <w:t>1998</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 xml:space="preserve">24 </w:t>
      </w:r>
      <w:r w:rsidRPr="00417752">
        <w:rPr>
          <w:rFonts w:ascii="Verdana" w:eastAsia="宋体" w:hAnsi="Verdana" w:cs="宋体"/>
          <w:color w:val="4B4B4B"/>
          <w:kern w:val="0"/>
          <w:szCs w:val="21"/>
        </w:rPr>
        <w:t>号</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托管业务部总经理：李爱华</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托管部门信息披露联系人：王永民</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客服电话：</w:t>
      </w:r>
      <w:r w:rsidRPr="00417752">
        <w:rPr>
          <w:rFonts w:ascii="Verdana" w:eastAsia="宋体" w:hAnsi="Verdana" w:cs="宋体"/>
          <w:color w:val="4B4B4B"/>
          <w:kern w:val="0"/>
          <w:szCs w:val="21"/>
        </w:rPr>
        <w:t xml:space="preserve">95566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传真：（</w:t>
      </w:r>
      <w:r w:rsidRPr="00417752">
        <w:rPr>
          <w:rFonts w:ascii="Verdana" w:eastAsia="宋体" w:hAnsi="Verdana" w:cs="宋体"/>
          <w:color w:val="4B4B4B"/>
          <w:kern w:val="0"/>
          <w:szCs w:val="21"/>
        </w:rPr>
        <w:t>010</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 xml:space="preserve">66594942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二、基金托管部门及主要人员情况</w:t>
      </w:r>
      <w:r w:rsidRPr="00417752">
        <w:rPr>
          <w:rFonts w:ascii="Verdana" w:eastAsia="宋体" w:hAnsi="Verdana" w:cs="宋体"/>
          <w:b/>
          <w:bCs/>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中国银行于</w:t>
      </w:r>
      <w:r w:rsidRPr="00417752">
        <w:rPr>
          <w:rFonts w:ascii="Verdana" w:eastAsia="宋体" w:hAnsi="Verdana" w:cs="宋体"/>
          <w:color w:val="4B4B4B"/>
          <w:kern w:val="0"/>
          <w:szCs w:val="21"/>
        </w:rPr>
        <w:t>1998</w:t>
      </w:r>
      <w:r w:rsidRPr="00417752">
        <w:rPr>
          <w:rFonts w:ascii="Verdana" w:eastAsia="宋体" w:hAnsi="Verdana" w:cs="宋体"/>
          <w:color w:val="4B4B4B"/>
          <w:kern w:val="0"/>
          <w:szCs w:val="21"/>
        </w:rPr>
        <w:t>年设立基金托管部，为充分体现</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以客户为中心</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的服务理念，中国银行于</w:t>
      </w:r>
      <w:r w:rsidRPr="00417752">
        <w:rPr>
          <w:rFonts w:ascii="Verdana" w:eastAsia="宋体" w:hAnsi="Verdana" w:cs="宋体"/>
          <w:color w:val="4B4B4B"/>
          <w:kern w:val="0"/>
          <w:szCs w:val="21"/>
        </w:rPr>
        <w:t>2005</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23</w:t>
      </w:r>
      <w:r w:rsidRPr="00417752">
        <w:rPr>
          <w:rFonts w:ascii="Verdana" w:eastAsia="宋体" w:hAnsi="Verdana" w:cs="宋体"/>
          <w:color w:val="4B4B4B"/>
          <w:kern w:val="0"/>
          <w:szCs w:val="21"/>
        </w:rPr>
        <w:t>日正式将基金托管部更名为托管及投资者服务部，现有员工</w:t>
      </w:r>
      <w:r w:rsidRPr="00417752">
        <w:rPr>
          <w:rFonts w:ascii="Verdana" w:eastAsia="宋体" w:hAnsi="Verdana" w:cs="宋体"/>
          <w:color w:val="4B4B4B"/>
          <w:kern w:val="0"/>
          <w:szCs w:val="21"/>
        </w:rPr>
        <w:t>120</w:t>
      </w:r>
      <w:r w:rsidRPr="00417752">
        <w:rPr>
          <w:rFonts w:ascii="Verdana" w:eastAsia="宋体" w:hAnsi="Verdana" w:cs="宋体"/>
          <w:color w:val="4B4B4B"/>
          <w:kern w:val="0"/>
          <w:szCs w:val="21"/>
        </w:rPr>
        <w:t>余人，大部分员工具有丰富的银行、证券、基金、信托从业经验，且具有海外工作、学习或培训经历，</w:t>
      </w:r>
      <w:r w:rsidRPr="00417752">
        <w:rPr>
          <w:rFonts w:ascii="Verdana" w:eastAsia="宋体" w:hAnsi="Verdana" w:cs="宋体"/>
          <w:color w:val="4B4B4B"/>
          <w:kern w:val="0"/>
          <w:szCs w:val="21"/>
        </w:rPr>
        <w:t>60</w:t>
      </w:r>
      <w:r w:rsidRPr="00417752">
        <w:rPr>
          <w:rFonts w:ascii="Verdana" w:eastAsia="宋体" w:hAnsi="Verdana" w:cs="宋体"/>
          <w:color w:val="4B4B4B"/>
          <w:kern w:val="0"/>
          <w:szCs w:val="21"/>
        </w:rPr>
        <w:t>％以上的员工具有硕士以上学位或高级职称。为给客户提供专业化的托管服务，中国银行已在境内、外分行开展托管业务。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作为国内首批开展证券投资基金托管业务的商业银行，中国银行拥有证券投资基金、基金（一对多、一对一）、社保基金、保险资金、</w:t>
      </w:r>
      <w:r w:rsidRPr="00417752">
        <w:rPr>
          <w:rFonts w:ascii="Verdana" w:eastAsia="宋体" w:hAnsi="Verdana" w:cs="宋体"/>
          <w:color w:val="4B4B4B"/>
          <w:kern w:val="0"/>
          <w:szCs w:val="21"/>
        </w:rPr>
        <w:t>QFII</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RQFII</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QDII</w:t>
      </w:r>
      <w:r w:rsidRPr="00417752">
        <w:rPr>
          <w:rFonts w:ascii="Verdana" w:eastAsia="宋体" w:hAnsi="Verdana" w:cs="宋体"/>
          <w:color w:val="4B4B4B"/>
          <w:kern w:val="0"/>
          <w:szCs w:val="21"/>
        </w:rPr>
        <w:t>、境外三类机构银行间债券、券商资产管理计划、信托计划、企业年金、银行理财产品、股权基金、私募基金、资金托管等门类齐全、产品丰富的托管产品体系。在国内，中国银行是首家开展绩效评估、风险管理等增值服务，为各类客户提供个性化的托管增值服务，是国内领先的大型中资托管银行。</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三、证券投资基金托管情况</w:t>
      </w:r>
      <w:r w:rsidRPr="00417752">
        <w:rPr>
          <w:rFonts w:ascii="Verdana" w:eastAsia="宋体" w:hAnsi="Verdana" w:cs="宋体"/>
          <w:b/>
          <w:bCs/>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截至</w:t>
      </w:r>
      <w:r w:rsidRPr="00417752">
        <w:rPr>
          <w:rFonts w:ascii="Verdana" w:eastAsia="宋体" w:hAnsi="Verdana" w:cs="宋体"/>
          <w:color w:val="4B4B4B"/>
          <w:kern w:val="0"/>
          <w:szCs w:val="21"/>
        </w:rPr>
        <w:t xml:space="preserve">2014 </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 xml:space="preserve">12 </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 xml:space="preserve">31 </w:t>
      </w:r>
      <w:r w:rsidRPr="00417752">
        <w:rPr>
          <w:rFonts w:ascii="Verdana" w:eastAsia="宋体" w:hAnsi="Verdana" w:cs="宋体"/>
          <w:color w:val="4B4B4B"/>
          <w:kern w:val="0"/>
          <w:szCs w:val="21"/>
        </w:rPr>
        <w:t>日，中国银行已托管</w:t>
      </w:r>
      <w:r w:rsidRPr="00417752">
        <w:rPr>
          <w:rFonts w:ascii="Verdana" w:eastAsia="宋体" w:hAnsi="Verdana" w:cs="宋体"/>
          <w:color w:val="4B4B4B"/>
          <w:kern w:val="0"/>
          <w:szCs w:val="21"/>
        </w:rPr>
        <w:t xml:space="preserve">307 </w:t>
      </w:r>
      <w:r w:rsidRPr="00417752">
        <w:rPr>
          <w:rFonts w:ascii="Verdana" w:eastAsia="宋体" w:hAnsi="Verdana" w:cs="宋体"/>
          <w:color w:val="4B4B4B"/>
          <w:kern w:val="0"/>
          <w:szCs w:val="21"/>
        </w:rPr>
        <w:t>只证券投资基金，其中境内基金</w:t>
      </w:r>
      <w:r w:rsidRPr="00417752">
        <w:rPr>
          <w:rFonts w:ascii="Verdana" w:eastAsia="宋体" w:hAnsi="Verdana" w:cs="宋体"/>
          <w:color w:val="4B4B4B"/>
          <w:kern w:val="0"/>
          <w:szCs w:val="21"/>
        </w:rPr>
        <w:t xml:space="preserve">282 </w:t>
      </w:r>
      <w:r w:rsidRPr="00417752">
        <w:rPr>
          <w:rFonts w:ascii="Verdana" w:eastAsia="宋体" w:hAnsi="Verdana" w:cs="宋体"/>
          <w:color w:val="4B4B4B"/>
          <w:kern w:val="0"/>
          <w:szCs w:val="21"/>
        </w:rPr>
        <w:t>只，</w:t>
      </w:r>
      <w:r w:rsidRPr="00417752">
        <w:rPr>
          <w:rFonts w:ascii="Verdana" w:eastAsia="宋体" w:hAnsi="Verdana" w:cs="宋体"/>
          <w:color w:val="4B4B4B"/>
          <w:kern w:val="0"/>
          <w:szCs w:val="21"/>
        </w:rPr>
        <w:t xml:space="preserve">QDII </w:t>
      </w:r>
      <w:r w:rsidRPr="00417752">
        <w:rPr>
          <w:rFonts w:ascii="Verdana" w:eastAsia="宋体" w:hAnsi="Verdana" w:cs="宋体"/>
          <w:color w:val="4B4B4B"/>
          <w:kern w:val="0"/>
          <w:szCs w:val="21"/>
        </w:rPr>
        <w:t>基金</w:t>
      </w:r>
      <w:r w:rsidRPr="00417752">
        <w:rPr>
          <w:rFonts w:ascii="Verdana" w:eastAsia="宋体" w:hAnsi="Verdana" w:cs="宋体"/>
          <w:color w:val="4B4B4B"/>
          <w:kern w:val="0"/>
          <w:szCs w:val="21"/>
        </w:rPr>
        <w:t xml:space="preserve">25 </w:t>
      </w:r>
      <w:r w:rsidRPr="00417752">
        <w:rPr>
          <w:rFonts w:ascii="Verdana" w:eastAsia="宋体" w:hAnsi="Verdana" w:cs="宋体"/>
          <w:color w:val="4B4B4B"/>
          <w:kern w:val="0"/>
          <w:szCs w:val="21"/>
        </w:rPr>
        <w:t>只，覆盖了股票型、债券型、混合型、货币型、指数型等多种类型的基金，满足了不同客户多元化的投资理财需求，基金托管规模位居同业前列。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四、托管业务的内部控制制度</w:t>
      </w:r>
      <w:r w:rsidRPr="00417752">
        <w:rPr>
          <w:rFonts w:ascii="Verdana" w:eastAsia="宋体" w:hAnsi="Verdana" w:cs="宋体"/>
          <w:b/>
          <w:bCs/>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中国银行托管业务部风险管理与控制工作是中国银行全面风险控制工作的组成部分，秉承中国银行风险控制理念，坚持</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规范运作、稳健经营</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的原则。中国银行托管业务部风险控制工作贯穿业务各环节，包括风险识别，风险评估，工作程序设计与制度建设，风险检视，工作程序与制度的执行，工作程序与制度执行情况的内部监督、稽核以及风险控制工作的后评价。</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2007</w:t>
      </w:r>
      <w:r w:rsidRPr="00417752">
        <w:rPr>
          <w:rFonts w:ascii="Verdana" w:eastAsia="宋体" w:hAnsi="Verdana" w:cs="宋体"/>
          <w:color w:val="4B4B4B"/>
          <w:kern w:val="0"/>
          <w:szCs w:val="21"/>
        </w:rPr>
        <w:t>年起，中国银行连续聘请外部会计会计师事务所开展托管业务内部控制审阅工作。先后获得基于</w:t>
      </w:r>
      <w:r w:rsidRPr="00417752">
        <w:rPr>
          <w:rFonts w:ascii="Verdana" w:eastAsia="宋体" w:hAnsi="Verdana" w:cs="宋体"/>
          <w:color w:val="4B4B4B"/>
          <w:kern w:val="0"/>
          <w:szCs w:val="21"/>
        </w:rPr>
        <w:t xml:space="preserve"> “SAS70”</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“AAF01/06” “ISAE3402”</w:t>
      </w:r>
      <w:r w:rsidRPr="00417752">
        <w:rPr>
          <w:rFonts w:ascii="Verdana" w:eastAsia="宋体" w:hAnsi="Verdana" w:cs="宋体"/>
          <w:color w:val="4B4B4B"/>
          <w:kern w:val="0"/>
          <w:szCs w:val="21"/>
        </w:rPr>
        <w:t>和</w:t>
      </w:r>
      <w:r w:rsidRPr="00417752">
        <w:rPr>
          <w:rFonts w:ascii="Verdana" w:eastAsia="宋体" w:hAnsi="Verdana" w:cs="宋体"/>
          <w:color w:val="4B4B4B"/>
          <w:kern w:val="0"/>
          <w:szCs w:val="21"/>
        </w:rPr>
        <w:t>“SSAE16”</w:t>
      </w:r>
      <w:r w:rsidRPr="00417752">
        <w:rPr>
          <w:rFonts w:ascii="Verdana" w:eastAsia="宋体" w:hAnsi="Verdana" w:cs="宋体"/>
          <w:color w:val="4B4B4B"/>
          <w:kern w:val="0"/>
          <w:szCs w:val="21"/>
        </w:rPr>
        <w:t>等国际主流内控审阅准则的无保留意见的审阅报告。</w:t>
      </w:r>
      <w:r w:rsidRPr="00417752">
        <w:rPr>
          <w:rFonts w:ascii="Verdana" w:eastAsia="宋体" w:hAnsi="Verdana" w:cs="宋体"/>
          <w:color w:val="4B4B4B"/>
          <w:kern w:val="0"/>
          <w:szCs w:val="21"/>
        </w:rPr>
        <w:t>2013</w:t>
      </w:r>
      <w:r w:rsidRPr="00417752">
        <w:rPr>
          <w:rFonts w:ascii="Verdana" w:eastAsia="宋体" w:hAnsi="Verdana" w:cs="宋体"/>
          <w:color w:val="4B4B4B"/>
          <w:kern w:val="0"/>
          <w:szCs w:val="21"/>
        </w:rPr>
        <w:t>年，中国银行同时获得了基于</w:t>
      </w:r>
      <w:r w:rsidRPr="00417752">
        <w:rPr>
          <w:rFonts w:ascii="Verdana" w:eastAsia="宋体" w:hAnsi="Verdana" w:cs="宋体"/>
          <w:color w:val="4B4B4B"/>
          <w:kern w:val="0"/>
          <w:szCs w:val="21"/>
        </w:rPr>
        <w:t>“ISAE3402”</w:t>
      </w:r>
      <w:r w:rsidRPr="00417752">
        <w:rPr>
          <w:rFonts w:ascii="Verdana" w:eastAsia="宋体" w:hAnsi="Verdana" w:cs="宋体"/>
          <w:color w:val="4B4B4B"/>
          <w:kern w:val="0"/>
          <w:szCs w:val="21"/>
        </w:rPr>
        <w:t>和</w:t>
      </w:r>
      <w:r w:rsidRPr="00417752">
        <w:rPr>
          <w:rFonts w:ascii="Verdana" w:eastAsia="宋体" w:hAnsi="Verdana" w:cs="宋体"/>
          <w:color w:val="4B4B4B"/>
          <w:kern w:val="0"/>
          <w:szCs w:val="21"/>
        </w:rPr>
        <w:t>“SSAE16”</w:t>
      </w:r>
      <w:r w:rsidRPr="00417752">
        <w:rPr>
          <w:rFonts w:ascii="Verdana" w:eastAsia="宋体" w:hAnsi="Verdana" w:cs="宋体"/>
          <w:color w:val="4B4B4B"/>
          <w:kern w:val="0"/>
          <w:szCs w:val="21"/>
        </w:rPr>
        <w:t>双准则的内部控制审计报告。中国银行托管业务内控制度完善，内控措施严密，能够有效保证托管资产的安全。</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五、托管人对管理人运作基金进行监督的方法和程序</w:t>
      </w:r>
      <w:r w:rsidRPr="00417752">
        <w:rPr>
          <w:rFonts w:ascii="Verdana" w:eastAsia="宋体" w:hAnsi="Verdana" w:cs="宋体"/>
          <w:b/>
          <w:bCs/>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根据《中华人民共和国证券投资基金法》、《公开募集证券投资基金运作管理办法》的相关规定，基金托管人发现基金管理人的投资指令违反法律、行政法规和其他有关规定，或者违反基金合同约定的，应当拒绝执行，立即通知基金管理人，并及时向国务院证券监督管理机构报告。基金托管人如发现基金管理人依据交易程序已经生效的投资指令违反法律、行政法规和其他有关规定，或者违反基金合同约定的</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应当立即通知基金管理人，并及时向国务院证券监督管理机构报告。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40" w:name="_Toc360793849"/>
      <w:bookmarkStart w:id="41" w:name="_Toc360794099"/>
      <w:bookmarkStart w:id="42" w:name="_Toc360794407"/>
      <w:bookmarkStart w:id="43" w:name="_Toc360794515"/>
      <w:bookmarkStart w:id="44" w:name="_Toc362455182"/>
      <w:bookmarkStart w:id="45" w:name="_Toc362533454"/>
      <w:bookmarkStart w:id="46" w:name="_Toc416453844"/>
      <w:bookmarkStart w:id="47" w:name="_Toc360793497"/>
      <w:bookmarkEnd w:id="40"/>
      <w:bookmarkEnd w:id="41"/>
      <w:bookmarkEnd w:id="42"/>
      <w:bookmarkEnd w:id="43"/>
      <w:bookmarkEnd w:id="44"/>
      <w:bookmarkEnd w:id="45"/>
      <w:bookmarkEnd w:id="46"/>
      <w:r w:rsidRPr="00417752">
        <w:rPr>
          <w:rFonts w:ascii="Verdana" w:eastAsia="宋体" w:hAnsi="Verdana" w:cs="宋体"/>
          <w:b/>
          <w:bCs/>
          <w:color w:val="4B4B4B"/>
          <w:kern w:val="0"/>
          <w:szCs w:val="21"/>
        </w:rPr>
        <w:t>五、</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相关服务机构</w:t>
      </w:r>
      <w:bookmarkEnd w:id="47"/>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一、销售机构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、直销机构：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南方基金管理有限公司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住所及办公地址：深圳市福田中心区福华一路六号免税商务大厦塔楼</w:t>
      </w:r>
      <w:r w:rsidRPr="00417752">
        <w:rPr>
          <w:rFonts w:ascii="Verdana" w:eastAsia="宋体" w:hAnsi="Verdana" w:cs="宋体"/>
          <w:color w:val="4B4B4B"/>
          <w:kern w:val="0"/>
          <w:szCs w:val="21"/>
        </w:rPr>
        <w:t>31</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32</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33</w:t>
      </w:r>
      <w:r w:rsidRPr="00417752">
        <w:rPr>
          <w:rFonts w:ascii="Verdana" w:eastAsia="宋体" w:hAnsi="Verdana" w:cs="宋体"/>
          <w:color w:val="4B4B4B"/>
          <w:kern w:val="0"/>
          <w:szCs w:val="21"/>
        </w:rPr>
        <w:t>层整层</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法定代表人：吴万善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电话：（</w:t>
      </w:r>
      <w:r w:rsidRPr="00417752">
        <w:rPr>
          <w:rFonts w:ascii="Verdana" w:eastAsia="宋体" w:hAnsi="Verdana" w:cs="宋体"/>
          <w:color w:val="4B4B4B"/>
          <w:kern w:val="0"/>
          <w:szCs w:val="21"/>
        </w:rPr>
        <w:t>0755</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 xml:space="preserve">82763905 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0755</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82763906</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传真：（</w:t>
      </w:r>
      <w:r w:rsidRPr="00417752">
        <w:rPr>
          <w:rFonts w:ascii="Verdana" w:eastAsia="宋体" w:hAnsi="Verdana" w:cs="宋体"/>
          <w:color w:val="4B4B4B"/>
          <w:kern w:val="0"/>
          <w:szCs w:val="21"/>
        </w:rPr>
        <w:t>0755</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82763900</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联系人：张锐珊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、代销机构：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）中国银行股份有限公司</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注册地址：北京市西城区复兴门内大街</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法定代表人：田国立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客服电话：</w:t>
      </w:r>
      <w:r w:rsidRPr="00417752">
        <w:rPr>
          <w:rFonts w:ascii="Verdana" w:eastAsia="宋体" w:hAnsi="Verdana" w:cs="宋体"/>
          <w:color w:val="4B4B4B"/>
          <w:kern w:val="0"/>
          <w:szCs w:val="21"/>
        </w:rPr>
        <w:t>95566</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公司网站：</w:t>
      </w:r>
      <w:hyperlink r:id="rId30" w:history="1">
        <w:r w:rsidRPr="00417752">
          <w:rPr>
            <w:rFonts w:ascii="Verdana" w:eastAsia="宋体" w:hAnsi="Verdana" w:cs="宋体"/>
            <w:color w:val="4B4B4B"/>
            <w:kern w:val="0"/>
            <w:szCs w:val="21"/>
          </w:rPr>
          <w:t>www.boc.cn</w:t>
        </w:r>
      </w:hyperlink>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）其他基金代销机构情况详见基金管理人发布的相关公告。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二、登记机构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南方基金管理有限公司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住所及办公地址：深圳市福田中心区福华一路</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号免税商务大厦塔楼</w:t>
      </w:r>
      <w:r w:rsidRPr="00417752">
        <w:rPr>
          <w:rFonts w:ascii="Verdana" w:eastAsia="宋体" w:hAnsi="Verdana" w:cs="宋体"/>
          <w:color w:val="4B4B4B"/>
          <w:kern w:val="0"/>
          <w:szCs w:val="21"/>
        </w:rPr>
        <w:t>31</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32</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33</w:t>
      </w:r>
      <w:r w:rsidRPr="00417752">
        <w:rPr>
          <w:rFonts w:ascii="Verdana" w:eastAsia="宋体" w:hAnsi="Verdana" w:cs="宋体"/>
          <w:color w:val="4B4B4B"/>
          <w:kern w:val="0"/>
          <w:szCs w:val="21"/>
        </w:rPr>
        <w:t>层整层</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法定代表人：吴万善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电话：（</w:t>
      </w:r>
      <w:r w:rsidRPr="00417752">
        <w:rPr>
          <w:rFonts w:ascii="Verdana" w:eastAsia="宋体" w:hAnsi="Verdana" w:cs="宋体"/>
          <w:color w:val="4B4B4B"/>
          <w:kern w:val="0"/>
          <w:szCs w:val="21"/>
        </w:rPr>
        <w:t>0755</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82763849</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传真：（</w:t>
      </w:r>
      <w:r w:rsidRPr="00417752">
        <w:rPr>
          <w:rFonts w:ascii="Verdana" w:eastAsia="宋体" w:hAnsi="Verdana" w:cs="宋体"/>
          <w:color w:val="4B4B4B"/>
          <w:kern w:val="0"/>
          <w:szCs w:val="21"/>
        </w:rPr>
        <w:t>0755</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82763889</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联系人：古和鹏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三、出具法律意见书的律师事务所</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名称：广东华瀚律师事务所</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注册地址：深圳市罗湖区笋岗东路</w:t>
      </w:r>
      <w:r w:rsidRPr="00417752">
        <w:rPr>
          <w:rFonts w:ascii="Verdana" w:eastAsia="宋体" w:hAnsi="Verdana" w:cs="宋体"/>
          <w:color w:val="4B4B4B"/>
          <w:kern w:val="0"/>
          <w:szCs w:val="21"/>
        </w:rPr>
        <w:t>1002</w:t>
      </w:r>
      <w:r w:rsidRPr="00417752">
        <w:rPr>
          <w:rFonts w:ascii="Verdana" w:eastAsia="宋体" w:hAnsi="Verdana" w:cs="宋体"/>
          <w:color w:val="4B4B4B"/>
          <w:kern w:val="0"/>
          <w:szCs w:val="21"/>
        </w:rPr>
        <w:t>号宝安广场</w:t>
      </w:r>
      <w:r w:rsidRPr="00417752">
        <w:rPr>
          <w:rFonts w:ascii="Verdana" w:eastAsia="宋体" w:hAnsi="Verdana" w:cs="宋体"/>
          <w:color w:val="4B4B4B"/>
          <w:kern w:val="0"/>
          <w:szCs w:val="21"/>
        </w:rPr>
        <w:t>A</w:t>
      </w:r>
      <w:r w:rsidRPr="00417752">
        <w:rPr>
          <w:rFonts w:ascii="Verdana" w:eastAsia="宋体" w:hAnsi="Verdana" w:cs="宋体"/>
          <w:color w:val="4B4B4B"/>
          <w:kern w:val="0"/>
          <w:szCs w:val="21"/>
        </w:rPr>
        <w:t>座</w:t>
      </w:r>
      <w:r w:rsidRPr="00417752">
        <w:rPr>
          <w:rFonts w:ascii="Verdana" w:eastAsia="宋体" w:hAnsi="Verdana" w:cs="宋体"/>
          <w:color w:val="4B4B4B"/>
          <w:kern w:val="0"/>
          <w:szCs w:val="21"/>
        </w:rPr>
        <w:t>16</w:t>
      </w:r>
      <w:r w:rsidRPr="00417752">
        <w:rPr>
          <w:rFonts w:ascii="Verdana" w:eastAsia="宋体" w:hAnsi="Verdana" w:cs="宋体"/>
          <w:color w:val="4B4B4B"/>
          <w:kern w:val="0"/>
          <w:szCs w:val="21"/>
        </w:rPr>
        <w:t>楼</w:t>
      </w:r>
      <w:r w:rsidRPr="00417752">
        <w:rPr>
          <w:rFonts w:ascii="Verdana" w:eastAsia="宋体" w:hAnsi="Verdana" w:cs="宋体"/>
          <w:color w:val="4B4B4B"/>
          <w:kern w:val="0"/>
          <w:szCs w:val="21"/>
        </w:rPr>
        <w:t>G.H</w:t>
      </w:r>
      <w:r w:rsidRPr="00417752">
        <w:rPr>
          <w:rFonts w:ascii="Verdana" w:eastAsia="宋体" w:hAnsi="Verdana" w:cs="宋体"/>
          <w:color w:val="4B4B4B"/>
          <w:kern w:val="0"/>
          <w:szCs w:val="21"/>
        </w:rPr>
        <w:t>室</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负责人：李兆良</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电话：</w:t>
      </w:r>
      <w:r w:rsidRPr="00417752">
        <w:rPr>
          <w:rFonts w:ascii="Verdana" w:eastAsia="宋体" w:hAnsi="Verdana" w:cs="宋体"/>
          <w:color w:val="4B4B4B"/>
          <w:kern w:val="0"/>
          <w:szCs w:val="21"/>
        </w:rPr>
        <w:t>(0755)82687860</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传真：</w:t>
      </w:r>
      <w:r w:rsidRPr="00417752">
        <w:rPr>
          <w:rFonts w:ascii="Verdana" w:eastAsia="宋体" w:hAnsi="Verdana" w:cs="宋体"/>
          <w:color w:val="4B4B4B"/>
          <w:kern w:val="0"/>
          <w:szCs w:val="21"/>
        </w:rPr>
        <w:t>(0755)82687861</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经办律师：戴瑞冬、付强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四、审计基金财产的会计师事务所</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名称：普华永道中天会计师事务所（特殊普通合伙）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住所：上海市浦东新区陆家嘴环路</w:t>
      </w:r>
      <w:r w:rsidRPr="00417752">
        <w:rPr>
          <w:rFonts w:ascii="Verdana" w:eastAsia="宋体" w:hAnsi="Verdana" w:cs="宋体"/>
          <w:color w:val="4B4B4B"/>
          <w:kern w:val="0"/>
          <w:szCs w:val="21"/>
        </w:rPr>
        <w:t>1318</w:t>
      </w:r>
      <w:r w:rsidRPr="00417752">
        <w:rPr>
          <w:rFonts w:ascii="Verdana" w:eastAsia="宋体" w:hAnsi="Verdana" w:cs="宋体"/>
          <w:color w:val="4B4B4B"/>
          <w:kern w:val="0"/>
          <w:szCs w:val="21"/>
        </w:rPr>
        <w:t>号星展银行大厦</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办公地址：上海市湖滨路</w:t>
      </w:r>
      <w:r w:rsidRPr="00417752">
        <w:rPr>
          <w:rFonts w:ascii="Verdana" w:eastAsia="宋体" w:hAnsi="Verdana" w:cs="宋体"/>
          <w:color w:val="4B4B4B"/>
          <w:kern w:val="0"/>
          <w:szCs w:val="21"/>
        </w:rPr>
        <w:t>202</w:t>
      </w:r>
      <w:r w:rsidRPr="00417752">
        <w:rPr>
          <w:rFonts w:ascii="Verdana" w:eastAsia="宋体" w:hAnsi="Verdana" w:cs="宋体"/>
          <w:color w:val="4B4B4B"/>
          <w:kern w:val="0"/>
          <w:szCs w:val="21"/>
        </w:rPr>
        <w:t>号普华永道中心</w:t>
      </w:r>
      <w:r w:rsidRPr="00417752">
        <w:rPr>
          <w:rFonts w:ascii="Verdana" w:eastAsia="宋体" w:hAnsi="Verdana" w:cs="宋体"/>
          <w:color w:val="4B4B4B"/>
          <w:kern w:val="0"/>
          <w:szCs w:val="21"/>
        </w:rPr>
        <w:t>11</w:t>
      </w:r>
      <w:r w:rsidRPr="00417752">
        <w:rPr>
          <w:rFonts w:ascii="Verdana" w:eastAsia="宋体" w:hAnsi="Verdana" w:cs="宋体"/>
          <w:color w:val="4B4B4B"/>
          <w:kern w:val="0"/>
          <w:szCs w:val="21"/>
        </w:rPr>
        <w:t>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法定代表人：杨绍信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联系人：陈熹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联系电话：</w:t>
      </w:r>
      <w:r w:rsidRPr="00417752">
        <w:rPr>
          <w:rFonts w:ascii="Verdana" w:eastAsia="宋体" w:hAnsi="Verdana" w:cs="宋体"/>
          <w:color w:val="4B4B4B"/>
          <w:kern w:val="0"/>
          <w:szCs w:val="21"/>
        </w:rPr>
        <w:t>021-23238888</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传真：</w:t>
      </w:r>
      <w:r w:rsidRPr="00417752">
        <w:rPr>
          <w:rFonts w:ascii="Verdana" w:eastAsia="宋体" w:hAnsi="Verdana" w:cs="宋体"/>
          <w:color w:val="4B4B4B"/>
          <w:kern w:val="0"/>
          <w:szCs w:val="21"/>
        </w:rPr>
        <w:t>021-23238800</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经办注册会计师：汪棣、陈熹</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48" w:name="_Toc360793850"/>
      <w:bookmarkStart w:id="49" w:name="_Toc360794100"/>
      <w:bookmarkStart w:id="50" w:name="_Toc360794408"/>
      <w:bookmarkStart w:id="51" w:name="_Toc360794516"/>
      <w:bookmarkStart w:id="52" w:name="_Toc362455183"/>
      <w:bookmarkStart w:id="53" w:name="_Toc362533455"/>
      <w:bookmarkStart w:id="54" w:name="_Toc416453845"/>
      <w:bookmarkStart w:id="55" w:name="_Toc360793498"/>
      <w:bookmarkEnd w:id="48"/>
      <w:bookmarkEnd w:id="49"/>
      <w:bookmarkEnd w:id="50"/>
      <w:bookmarkEnd w:id="51"/>
      <w:bookmarkEnd w:id="52"/>
      <w:bookmarkEnd w:id="53"/>
      <w:bookmarkEnd w:id="54"/>
      <w:r w:rsidRPr="00417752">
        <w:rPr>
          <w:rFonts w:ascii="Verdana" w:eastAsia="宋体" w:hAnsi="Verdana" w:cs="宋体"/>
          <w:b/>
          <w:bCs/>
          <w:color w:val="4B4B4B"/>
          <w:kern w:val="0"/>
          <w:szCs w:val="21"/>
        </w:rPr>
        <w:t>六、</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基金募集</w:t>
      </w:r>
      <w:bookmarkEnd w:id="55"/>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本基金由基金管理人依照《基金法》、《运作办法》、《销售办法》、基金合同及其他有关规定，并经中国证监会</w:t>
      </w:r>
      <w:r w:rsidRPr="00417752">
        <w:rPr>
          <w:rFonts w:ascii="Verdana" w:eastAsia="宋体" w:hAnsi="Verdana" w:cs="宋体"/>
          <w:color w:val="4B4B4B"/>
          <w:kern w:val="0"/>
          <w:szCs w:val="21"/>
        </w:rPr>
        <w:t>2015</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27</w:t>
      </w:r>
      <w:r w:rsidRPr="00417752">
        <w:rPr>
          <w:rFonts w:ascii="Verdana" w:eastAsia="宋体" w:hAnsi="Verdana" w:cs="宋体"/>
          <w:color w:val="4B4B4B"/>
          <w:kern w:val="0"/>
          <w:szCs w:val="21"/>
        </w:rPr>
        <w:t>日证监许可</w:t>
      </w:r>
      <w:r w:rsidRPr="00417752">
        <w:rPr>
          <w:rFonts w:ascii="Verdana" w:eastAsia="宋体" w:hAnsi="Verdana" w:cs="宋体"/>
          <w:color w:val="4B4B4B"/>
          <w:kern w:val="0"/>
          <w:szCs w:val="21"/>
        </w:rPr>
        <w:t>[2015]1038</w:t>
      </w:r>
      <w:r w:rsidRPr="00417752">
        <w:rPr>
          <w:rFonts w:ascii="Verdana" w:eastAsia="宋体" w:hAnsi="Verdana" w:cs="宋体"/>
          <w:color w:val="4B4B4B"/>
          <w:kern w:val="0"/>
          <w:szCs w:val="21"/>
        </w:rPr>
        <w:t>号文注册募集。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本基金为契约型开放式基金。基金存续期限为不定期。</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一、募集期</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自基金份额发售之日起不超过</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个月，具体发售时间见基金份额发售公告。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二、发售对象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符合法律法规规定的可投资于证券投资基金的个人投资者、机构投资者、合格境外机构投资者和人民币合格境外机构投资者以及法律法规或中国证监会允许购买证券投资基金的其他投资人。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三、发售方式和销售渠道</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本基金将通过各销售机构的基金销售网点或按基金管理人、销售机构提供的其他方式办理公开发售，各销售机构的具体名单见基金份额发售公告或相关业务公告。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本基金认购采取全额缴款认购的方式。若资金未全额到账则认购无效，基金管理人将认购无效的款项退回。基金投资人在募集期内可多次认购，认购一经确认不得撤销。</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本基金认购的申请方式为书面申请或各销售机构规定的其他方式。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本基金基金份额发售面值为人民币</w:t>
      </w:r>
      <w:r w:rsidRPr="00417752">
        <w:rPr>
          <w:rFonts w:ascii="Verdana" w:eastAsia="宋体" w:hAnsi="Verdana" w:cs="宋体"/>
          <w:color w:val="4B4B4B"/>
          <w:kern w:val="0"/>
          <w:szCs w:val="21"/>
        </w:rPr>
        <w:t>1.00</w:t>
      </w:r>
      <w:r w:rsidRPr="00417752">
        <w:rPr>
          <w:rFonts w:ascii="Verdana" w:eastAsia="宋体" w:hAnsi="Verdana" w:cs="宋体"/>
          <w:color w:val="4B4B4B"/>
          <w:kern w:val="0"/>
          <w:szCs w:val="21"/>
        </w:rPr>
        <w:t>元，按面值发售。</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当日（</w:t>
      </w:r>
      <w:r w:rsidRPr="00417752">
        <w:rPr>
          <w:rFonts w:ascii="Verdana" w:eastAsia="宋体" w:hAnsi="Verdana" w:cs="宋体"/>
          <w:color w:val="4B4B4B"/>
          <w:kern w:val="0"/>
          <w:szCs w:val="21"/>
        </w:rPr>
        <w:t>T</w:t>
      </w:r>
      <w:r w:rsidRPr="00417752">
        <w:rPr>
          <w:rFonts w:ascii="Verdana" w:eastAsia="宋体" w:hAnsi="Verdana" w:cs="宋体"/>
          <w:color w:val="4B4B4B"/>
          <w:kern w:val="0"/>
          <w:szCs w:val="21"/>
        </w:rPr>
        <w:t>日）在规定时间内提交的申请，投资人通常可在</w:t>
      </w:r>
      <w:r w:rsidRPr="00417752">
        <w:rPr>
          <w:rFonts w:ascii="Verdana" w:eastAsia="宋体" w:hAnsi="Verdana" w:cs="宋体"/>
          <w:color w:val="4B4B4B"/>
          <w:kern w:val="0"/>
          <w:szCs w:val="21"/>
        </w:rPr>
        <w:t>T+2</w:t>
      </w:r>
      <w:r w:rsidRPr="00417752">
        <w:rPr>
          <w:rFonts w:ascii="Verdana" w:eastAsia="宋体" w:hAnsi="Verdana" w:cs="宋体"/>
          <w:color w:val="4B4B4B"/>
          <w:kern w:val="0"/>
          <w:szCs w:val="21"/>
        </w:rPr>
        <w:t>日到网点查询交易情况，在募集截止日后</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个工作日内可以到网点打印交易确认书。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四、首次募集规模上限</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本基金可设置首次募集规模上限，具体募集上限及规模控制的方案详见基金份额发售公告或其他公告。若本基金设置首次募集规模上限，基金合同生效后不受此募集规模的限制。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五、认购费用</w:t>
      </w:r>
      <w:r w:rsidRPr="00417752">
        <w:rPr>
          <w:rFonts w:ascii="Verdana" w:eastAsia="宋体" w:hAnsi="Verdana" w:cs="宋体"/>
          <w:b/>
          <w:bCs/>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本基金认购费率最高不高于</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，且随认购金额的增加而递减，如下表所示：</w:t>
      </w:r>
    </w:p>
    <w:tbl>
      <w:tblPr>
        <w:tblW w:w="60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0"/>
        <w:gridCol w:w="3240"/>
      </w:tblGrid>
      <w:tr w:rsidR="00417752" w:rsidRPr="00417752" w:rsidTr="00417752">
        <w:trPr>
          <w:tblCellSpacing w:w="0" w:type="dxa"/>
          <w:jc w:val="center"/>
        </w:trPr>
        <w:tc>
          <w:tcPr>
            <w:tcW w:w="285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认购金额（</w:t>
            </w:r>
            <w:r w:rsidRPr="00417752">
              <w:rPr>
                <w:rFonts w:ascii="ˎ̥" w:eastAsia="宋体" w:hAnsi="ˎ̥" w:cs="宋体"/>
                <w:color w:val="4B4B4B"/>
                <w:kern w:val="0"/>
                <w:szCs w:val="21"/>
              </w:rPr>
              <w:t>M</w:t>
            </w:r>
            <w:r w:rsidRPr="00417752">
              <w:rPr>
                <w:rFonts w:ascii="ˎ̥" w:eastAsia="宋体" w:hAnsi="ˎ̥" w:cs="宋体"/>
                <w:color w:val="4B4B4B"/>
                <w:kern w:val="0"/>
                <w:szCs w:val="21"/>
              </w:rPr>
              <w:t>）</w:t>
            </w:r>
          </w:p>
        </w:tc>
        <w:tc>
          <w:tcPr>
            <w:tcW w:w="324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认购费率</w:t>
            </w:r>
          </w:p>
        </w:tc>
      </w:tr>
      <w:tr w:rsidR="00417752" w:rsidRPr="00417752" w:rsidTr="00417752">
        <w:trPr>
          <w:tblCellSpacing w:w="0" w:type="dxa"/>
          <w:jc w:val="center"/>
        </w:trPr>
        <w:tc>
          <w:tcPr>
            <w:tcW w:w="285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M</w:t>
            </w:r>
            <w:r w:rsidRPr="00417752">
              <w:rPr>
                <w:rFonts w:ascii="ˎ̥" w:eastAsia="宋体" w:hAnsi="ˎ̥" w:cs="宋体"/>
                <w:color w:val="4B4B4B"/>
                <w:kern w:val="0"/>
                <w:szCs w:val="21"/>
              </w:rPr>
              <w:t>＜</w:t>
            </w:r>
            <w:r w:rsidRPr="00417752">
              <w:rPr>
                <w:rFonts w:ascii="ˎ̥" w:eastAsia="宋体" w:hAnsi="ˎ̥" w:cs="宋体"/>
                <w:color w:val="4B4B4B"/>
                <w:kern w:val="0"/>
                <w:szCs w:val="21"/>
              </w:rPr>
              <w:t>100</w:t>
            </w:r>
            <w:r w:rsidRPr="00417752">
              <w:rPr>
                <w:rFonts w:ascii="ˎ̥" w:eastAsia="宋体" w:hAnsi="ˎ̥" w:cs="宋体"/>
                <w:color w:val="4B4B4B"/>
                <w:kern w:val="0"/>
                <w:szCs w:val="21"/>
              </w:rPr>
              <w:t>万</w:t>
            </w:r>
          </w:p>
        </w:tc>
        <w:tc>
          <w:tcPr>
            <w:tcW w:w="324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1.2%</w:t>
            </w:r>
          </w:p>
        </w:tc>
      </w:tr>
      <w:tr w:rsidR="00417752" w:rsidRPr="00417752" w:rsidTr="00417752">
        <w:trPr>
          <w:tblCellSpacing w:w="0" w:type="dxa"/>
          <w:jc w:val="center"/>
        </w:trPr>
        <w:tc>
          <w:tcPr>
            <w:tcW w:w="285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100</w:t>
            </w:r>
            <w:r w:rsidRPr="00417752">
              <w:rPr>
                <w:rFonts w:ascii="ˎ̥" w:eastAsia="宋体" w:hAnsi="ˎ̥" w:cs="宋体"/>
                <w:color w:val="4B4B4B"/>
                <w:kern w:val="0"/>
                <w:szCs w:val="21"/>
              </w:rPr>
              <w:t>万</w:t>
            </w:r>
            <w:r w:rsidRPr="00417752">
              <w:rPr>
                <w:rFonts w:ascii="ˎ̥" w:eastAsia="宋体" w:hAnsi="ˎ̥" w:cs="宋体"/>
                <w:color w:val="4B4B4B"/>
                <w:kern w:val="0"/>
                <w:szCs w:val="21"/>
              </w:rPr>
              <w:t>≤M</w:t>
            </w:r>
            <w:r w:rsidRPr="00417752">
              <w:rPr>
                <w:rFonts w:ascii="ˎ̥" w:eastAsia="宋体" w:hAnsi="ˎ̥" w:cs="宋体"/>
                <w:color w:val="4B4B4B"/>
                <w:kern w:val="0"/>
                <w:szCs w:val="21"/>
              </w:rPr>
              <w:t>＜</w:t>
            </w:r>
            <w:r w:rsidRPr="00417752">
              <w:rPr>
                <w:rFonts w:ascii="ˎ̥" w:eastAsia="宋体" w:hAnsi="ˎ̥" w:cs="宋体"/>
                <w:color w:val="4B4B4B"/>
                <w:kern w:val="0"/>
                <w:szCs w:val="21"/>
              </w:rPr>
              <w:t>500</w:t>
            </w:r>
            <w:r w:rsidRPr="00417752">
              <w:rPr>
                <w:rFonts w:ascii="ˎ̥" w:eastAsia="宋体" w:hAnsi="ˎ̥" w:cs="宋体"/>
                <w:color w:val="4B4B4B"/>
                <w:kern w:val="0"/>
                <w:szCs w:val="21"/>
              </w:rPr>
              <w:t>万</w:t>
            </w:r>
          </w:p>
        </w:tc>
        <w:tc>
          <w:tcPr>
            <w:tcW w:w="324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0.8%</w:t>
            </w:r>
          </w:p>
        </w:tc>
      </w:tr>
      <w:tr w:rsidR="00417752" w:rsidRPr="00417752" w:rsidTr="00417752">
        <w:trPr>
          <w:tblCellSpacing w:w="0" w:type="dxa"/>
          <w:jc w:val="center"/>
        </w:trPr>
        <w:tc>
          <w:tcPr>
            <w:tcW w:w="285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500</w:t>
            </w:r>
            <w:r w:rsidRPr="00417752">
              <w:rPr>
                <w:rFonts w:ascii="ˎ̥" w:eastAsia="宋体" w:hAnsi="ˎ̥" w:cs="宋体"/>
                <w:color w:val="4B4B4B"/>
                <w:kern w:val="0"/>
                <w:szCs w:val="21"/>
              </w:rPr>
              <w:t>万</w:t>
            </w:r>
            <w:r w:rsidRPr="00417752">
              <w:rPr>
                <w:rFonts w:ascii="ˎ̥" w:eastAsia="宋体" w:hAnsi="ˎ̥" w:cs="宋体"/>
                <w:color w:val="4B4B4B"/>
                <w:kern w:val="0"/>
                <w:szCs w:val="21"/>
              </w:rPr>
              <w:t>≤M</w:t>
            </w:r>
            <w:r w:rsidRPr="00417752">
              <w:rPr>
                <w:rFonts w:ascii="ˎ̥" w:eastAsia="宋体" w:hAnsi="ˎ̥" w:cs="宋体"/>
                <w:color w:val="4B4B4B"/>
                <w:kern w:val="0"/>
                <w:szCs w:val="21"/>
              </w:rPr>
              <w:t>＜</w:t>
            </w:r>
            <w:r w:rsidRPr="00417752">
              <w:rPr>
                <w:rFonts w:ascii="ˎ̥" w:eastAsia="宋体" w:hAnsi="ˎ̥" w:cs="宋体"/>
                <w:color w:val="4B4B4B"/>
                <w:kern w:val="0"/>
                <w:szCs w:val="21"/>
              </w:rPr>
              <w:t>1000</w:t>
            </w:r>
            <w:r w:rsidRPr="00417752">
              <w:rPr>
                <w:rFonts w:ascii="ˎ̥" w:eastAsia="宋体" w:hAnsi="ˎ̥" w:cs="宋体"/>
                <w:color w:val="4B4B4B"/>
                <w:kern w:val="0"/>
                <w:szCs w:val="21"/>
              </w:rPr>
              <w:t>万</w:t>
            </w:r>
          </w:p>
        </w:tc>
        <w:tc>
          <w:tcPr>
            <w:tcW w:w="324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0.2%</w:t>
            </w:r>
          </w:p>
        </w:tc>
      </w:tr>
      <w:tr w:rsidR="00417752" w:rsidRPr="00417752" w:rsidTr="00417752">
        <w:trPr>
          <w:tblCellSpacing w:w="0" w:type="dxa"/>
          <w:jc w:val="center"/>
        </w:trPr>
        <w:tc>
          <w:tcPr>
            <w:tcW w:w="285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M≥1000</w:t>
            </w:r>
            <w:r w:rsidRPr="00417752">
              <w:rPr>
                <w:rFonts w:ascii="ˎ̥" w:eastAsia="宋体" w:hAnsi="ˎ̥" w:cs="宋体"/>
                <w:color w:val="4B4B4B"/>
                <w:kern w:val="0"/>
                <w:szCs w:val="21"/>
              </w:rPr>
              <w:t>万</w:t>
            </w:r>
          </w:p>
        </w:tc>
        <w:tc>
          <w:tcPr>
            <w:tcW w:w="324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每笔</w:t>
            </w:r>
            <w:r w:rsidRPr="00417752">
              <w:rPr>
                <w:rFonts w:ascii="ˎ̥" w:eastAsia="宋体" w:hAnsi="ˎ̥" w:cs="宋体"/>
                <w:color w:val="4B4B4B"/>
                <w:kern w:val="0"/>
                <w:szCs w:val="21"/>
              </w:rPr>
              <w:t>1,000</w:t>
            </w:r>
            <w:r w:rsidRPr="00417752">
              <w:rPr>
                <w:rFonts w:ascii="ˎ̥" w:eastAsia="宋体" w:hAnsi="ˎ̥" w:cs="宋体"/>
                <w:color w:val="4B4B4B"/>
                <w:kern w:val="0"/>
                <w:szCs w:val="21"/>
              </w:rPr>
              <w:t>元</w:t>
            </w:r>
          </w:p>
        </w:tc>
      </w:tr>
    </w:tbl>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投资人重复认购，须按每次认购所对应的费率档次分别计费。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基金认购费用不列入基金财产，主要用于基金的市场推广、销售、登记等募集期间发生的各项费用。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六、认购期利息的处理方式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《基金合同》生效前，投资人的认购款项只能存入专门账户，不得动用。认购款项在募集期间产生的利息将折算为基金份额归基金份额持有人所有，其中利息转份额以基金登记机构的记录为准。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七、基金认购份额的计算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、基金认购采用</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金额认购、份额确认</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的方式。基金的认购金额包括认购费用和净认购金额。认购份额的计算公式为：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净认购金额</w:t>
      </w:r>
      <w:r w:rsidRPr="00417752">
        <w:rPr>
          <w:rFonts w:ascii="Verdana" w:eastAsia="宋体" w:hAnsi="Verdana" w:cs="宋体"/>
          <w:color w:val="4B4B4B"/>
          <w:kern w:val="0"/>
          <w:szCs w:val="21"/>
        </w:rPr>
        <w:t xml:space="preserve"> = </w:t>
      </w:r>
      <w:r w:rsidRPr="00417752">
        <w:rPr>
          <w:rFonts w:ascii="Verdana" w:eastAsia="宋体" w:hAnsi="Verdana" w:cs="宋体"/>
          <w:color w:val="4B4B4B"/>
          <w:kern w:val="0"/>
          <w:szCs w:val="21"/>
        </w:rPr>
        <w:t>认购金额</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认购费率）</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认购费用</w:t>
      </w:r>
      <w:r w:rsidRPr="00417752">
        <w:rPr>
          <w:rFonts w:ascii="Verdana" w:eastAsia="宋体" w:hAnsi="Verdana" w:cs="宋体"/>
          <w:color w:val="4B4B4B"/>
          <w:kern w:val="0"/>
          <w:szCs w:val="21"/>
        </w:rPr>
        <w:t xml:space="preserve"> = </w:t>
      </w:r>
      <w:r w:rsidRPr="00417752">
        <w:rPr>
          <w:rFonts w:ascii="Verdana" w:eastAsia="宋体" w:hAnsi="Verdana" w:cs="宋体"/>
          <w:color w:val="4B4B4B"/>
          <w:kern w:val="0"/>
          <w:szCs w:val="21"/>
        </w:rPr>
        <w:t>认购金额－净认购金额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认购份额</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（净认购金额</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认购利息）</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基金份额面值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例：某投资人投资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万元认购本基金份额，该笔认购产生利息</w:t>
      </w:r>
      <w:r w:rsidRPr="00417752">
        <w:rPr>
          <w:rFonts w:ascii="Verdana" w:eastAsia="宋体" w:hAnsi="Verdana" w:cs="宋体"/>
          <w:color w:val="4B4B4B"/>
          <w:kern w:val="0"/>
          <w:szCs w:val="21"/>
        </w:rPr>
        <w:t>50</w:t>
      </w:r>
      <w:r w:rsidRPr="00417752">
        <w:rPr>
          <w:rFonts w:ascii="Verdana" w:eastAsia="宋体" w:hAnsi="Verdana" w:cs="宋体"/>
          <w:color w:val="4B4B4B"/>
          <w:kern w:val="0"/>
          <w:szCs w:val="21"/>
        </w:rPr>
        <w:t>元，对应认购费率为</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，则其可得到的认购份额为：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净认购金额＝</w:t>
      </w:r>
      <w:r w:rsidRPr="00417752">
        <w:rPr>
          <w:rFonts w:ascii="Verdana" w:eastAsia="宋体" w:hAnsi="Verdana" w:cs="宋体"/>
          <w:color w:val="4B4B4B"/>
          <w:kern w:val="0"/>
          <w:szCs w:val="21"/>
        </w:rPr>
        <w:t>100,000/ (1+1.2%</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98,814.23</w:t>
      </w:r>
      <w:r w:rsidRPr="00417752">
        <w:rPr>
          <w:rFonts w:ascii="Verdana" w:eastAsia="宋体" w:hAnsi="Verdana" w:cs="宋体"/>
          <w:color w:val="4B4B4B"/>
          <w:kern w:val="0"/>
          <w:szCs w:val="21"/>
        </w:rPr>
        <w:t>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认购费用＝</w:t>
      </w:r>
      <w:r w:rsidRPr="00417752">
        <w:rPr>
          <w:rFonts w:ascii="Verdana" w:eastAsia="宋体" w:hAnsi="Verdana" w:cs="宋体"/>
          <w:color w:val="4B4B4B"/>
          <w:kern w:val="0"/>
          <w:szCs w:val="21"/>
        </w:rPr>
        <w:t>100,000</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98,814.23</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1,185.77</w:t>
      </w:r>
      <w:r w:rsidRPr="00417752">
        <w:rPr>
          <w:rFonts w:ascii="Verdana" w:eastAsia="宋体" w:hAnsi="Verdana" w:cs="宋体"/>
          <w:color w:val="4B4B4B"/>
          <w:kern w:val="0"/>
          <w:szCs w:val="21"/>
        </w:rPr>
        <w:t>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认购份额</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98,814.23</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50</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/1.00 =98,864.23</w:t>
      </w:r>
      <w:r w:rsidRPr="00417752">
        <w:rPr>
          <w:rFonts w:ascii="Verdana" w:eastAsia="宋体" w:hAnsi="Verdana" w:cs="宋体"/>
          <w:color w:val="4B4B4B"/>
          <w:kern w:val="0"/>
          <w:szCs w:val="21"/>
        </w:rPr>
        <w:t>份</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、认购款项在募集期间产生的利息将折算为基金份额归基金份额持有人所有，其中利息转份额的数量以基金登记机构的记录为准。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八、基金认购金额的限制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本基金销售机构首次认购和追加认购最低金额均为人民币</w:t>
      </w:r>
      <w:r w:rsidRPr="00417752">
        <w:rPr>
          <w:rFonts w:ascii="Verdana" w:eastAsia="宋体" w:hAnsi="Verdana" w:cs="宋体"/>
          <w:color w:val="4B4B4B"/>
          <w:kern w:val="0"/>
          <w:szCs w:val="21"/>
        </w:rPr>
        <w:t>1,000</w:t>
      </w:r>
      <w:r w:rsidRPr="00417752">
        <w:rPr>
          <w:rFonts w:ascii="Verdana" w:eastAsia="宋体" w:hAnsi="Verdana" w:cs="宋体"/>
          <w:color w:val="4B4B4B"/>
          <w:kern w:val="0"/>
          <w:szCs w:val="21"/>
        </w:rPr>
        <w:t>元，具体认购金额以各基金销售机构的公告为准。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九、基金份额的认购和持有限额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基金管理人不对募集期间的单个投资人的累计认购金额进行限制。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56" w:name="_Toc360793851"/>
      <w:bookmarkStart w:id="57" w:name="_Toc360794101"/>
      <w:bookmarkStart w:id="58" w:name="_Toc360794409"/>
      <w:bookmarkStart w:id="59" w:name="_Toc360794517"/>
      <w:bookmarkStart w:id="60" w:name="_Toc362455184"/>
      <w:bookmarkStart w:id="61" w:name="_Toc362533456"/>
      <w:bookmarkStart w:id="62" w:name="_Toc416453846"/>
      <w:bookmarkStart w:id="63" w:name="_Toc360793499"/>
      <w:bookmarkEnd w:id="56"/>
      <w:bookmarkEnd w:id="57"/>
      <w:bookmarkEnd w:id="58"/>
      <w:bookmarkEnd w:id="59"/>
      <w:bookmarkEnd w:id="60"/>
      <w:bookmarkEnd w:id="61"/>
      <w:bookmarkEnd w:id="62"/>
      <w:r w:rsidRPr="00417752">
        <w:rPr>
          <w:rFonts w:ascii="Verdana" w:eastAsia="宋体" w:hAnsi="Verdana" w:cs="宋体"/>
          <w:b/>
          <w:bCs/>
          <w:color w:val="4B4B4B"/>
          <w:kern w:val="0"/>
          <w:szCs w:val="21"/>
        </w:rPr>
        <w:t>七、</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基金合同的生效</w:t>
      </w:r>
      <w:bookmarkEnd w:id="63"/>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一、基金备案的条件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本基金自基金份额发售之日起</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个月内，在基金募集份额总额不少于</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亿份，基金募集金额不少于</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亿元人民币且基金认购人数不少于</w:t>
      </w:r>
      <w:r w:rsidRPr="00417752">
        <w:rPr>
          <w:rFonts w:ascii="Verdana" w:eastAsia="宋体" w:hAnsi="Verdana" w:cs="宋体"/>
          <w:color w:val="4B4B4B"/>
          <w:kern w:val="0"/>
          <w:szCs w:val="21"/>
        </w:rPr>
        <w:t>200</w:t>
      </w:r>
      <w:r w:rsidRPr="00417752">
        <w:rPr>
          <w:rFonts w:ascii="Verdana" w:eastAsia="宋体" w:hAnsi="Verdana" w:cs="宋体"/>
          <w:color w:val="4B4B4B"/>
          <w:kern w:val="0"/>
          <w:szCs w:val="21"/>
        </w:rPr>
        <w:t>人的条件下，基金管理人依据法律法规及招募说明书可以决定停止基金发售，并在</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日内聘请法定验资机构验资，自收到验资报告之日起</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日内，向中国证监会办理基金备案手续。</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二、基金合同不能生效时募集资金的处理方式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如果募集期限届满，未满足基金备案条件，基金管理人应当承担下列责任：</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、以其固有财产承担因募集行为而产生的债务和费用；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、在基金募集期限届满后</w:t>
      </w:r>
      <w:r w:rsidRPr="00417752">
        <w:rPr>
          <w:rFonts w:ascii="Verdana" w:eastAsia="宋体" w:hAnsi="Verdana" w:cs="宋体"/>
          <w:color w:val="4B4B4B"/>
          <w:kern w:val="0"/>
          <w:szCs w:val="21"/>
        </w:rPr>
        <w:t>30</w:t>
      </w:r>
      <w:r w:rsidRPr="00417752">
        <w:rPr>
          <w:rFonts w:ascii="Verdana" w:eastAsia="宋体" w:hAnsi="Verdana" w:cs="宋体"/>
          <w:color w:val="4B4B4B"/>
          <w:kern w:val="0"/>
          <w:szCs w:val="21"/>
        </w:rPr>
        <w:t>日内返还投资人已缴纳的款项，并加计银行同期活期存款利息。</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、如基金募集失败，基金管理人及销售机构不得请求报酬。基金管理人和销售机构为基金募集支付之一切费用应由各方各自承担。</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三、基金存续期内的基金份额持有人数量和资产规模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《基金合同》生效后，连续</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个工作日出现基金份额持有人数量不满</w:t>
      </w:r>
      <w:r w:rsidRPr="00417752">
        <w:rPr>
          <w:rFonts w:ascii="Verdana" w:eastAsia="宋体" w:hAnsi="Verdana" w:cs="宋体"/>
          <w:color w:val="4B4B4B"/>
          <w:kern w:val="0"/>
          <w:szCs w:val="21"/>
        </w:rPr>
        <w:t>200</w:t>
      </w:r>
      <w:r w:rsidRPr="00417752">
        <w:rPr>
          <w:rFonts w:ascii="Verdana" w:eastAsia="宋体" w:hAnsi="Verdana" w:cs="宋体"/>
          <w:color w:val="4B4B4B"/>
          <w:kern w:val="0"/>
          <w:szCs w:val="21"/>
        </w:rPr>
        <w:t>人或者基金资产净值低于</w:t>
      </w:r>
      <w:r w:rsidRPr="00417752">
        <w:rPr>
          <w:rFonts w:ascii="Verdana" w:eastAsia="宋体" w:hAnsi="Verdana" w:cs="宋体"/>
          <w:color w:val="4B4B4B"/>
          <w:kern w:val="0"/>
          <w:szCs w:val="21"/>
        </w:rPr>
        <w:t>5000</w:t>
      </w:r>
      <w:r w:rsidRPr="00417752">
        <w:rPr>
          <w:rFonts w:ascii="Verdana" w:eastAsia="宋体" w:hAnsi="Verdana" w:cs="宋体"/>
          <w:color w:val="4B4B4B"/>
          <w:kern w:val="0"/>
          <w:szCs w:val="21"/>
        </w:rPr>
        <w:t>万元的，基金管理人应当在定期报告中予以披露；连续</w:t>
      </w:r>
      <w:r w:rsidRPr="00417752">
        <w:rPr>
          <w:rFonts w:ascii="Verdana" w:eastAsia="宋体" w:hAnsi="Verdana" w:cs="宋体"/>
          <w:color w:val="4B4B4B"/>
          <w:kern w:val="0"/>
          <w:szCs w:val="21"/>
        </w:rPr>
        <w:t>60</w:t>
      </w:r>
      <w:r w:rsidRPr="00417752">
        <w:rPr>
          <w:rFonts w:ascii="Verdana" w:eastAsia="宋体" w:hAnsi="Verdana" w:cs="宋体"/>
          <w:color w:val="4B4B4B"/>
          <w:kern w:val="0"/>
          <w:szCs w:val="21"/>
        </w:rPr>
        <w:t>个工作日出现前述情形的，基金管理人应当向中国证监会报告并提出解决方案，如转换运作方式、与其他基金合并或者终止基金合同等，并召开基金份额持有人大会进行表决。</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法律法规或中国证监会另有规定时，从其规定。</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64" w:name="_Toc360793852"/>
      <w:bookmarkStart w:id="65" w:name="_Toc360794102"/>
      <w:bookmarkStart w:id="66" w:name="_Toc360794410"/>
      <w:bookmarkStart w:id="67" w:name="_Toc360794518"/>
      <w:bookmarkStart w:id="68" w:name="_Toc362455185"/>
      <w:bookmarkStart w:id="69" w:name="_Toc362533457"/>
      <w:bookmarkStart w:id="70" w:name="_Toc416453847"/>
      <w:bookmarkStart w:id="71" w:name="_Toc360793500"/>
      <w:bookmarkEnd w:id="64"/>
      <w:bookmarkEnd w:id="65"/>
      <w:bookmarkEnd w:id="66"/>
      <w:bookmarkEnd w:id="67"/>
      <w:bookmarkEnd w:id="68"/>
      <w:bookmarkEnd w:id="69"/>
      <w:bookmarkEnd w:id="70"/>
      <w:r w:rsidRPr="00417752">
        <w:rPr>
          <w:rFonts w:ascii="Verdana" w:eastAsia="宋体" w:hAnsi="Verdana" w:cs="宋体"/>
          <w:b/>
          <w:bCs/>
          <w:color w:val="4B4B4B"/>
          <w:kern w:val="0"/>
          <w:szCs w:val="21"/>
        </w:rPr>
        <w:t>八、</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基金份额的申购和赎回</w:t>
      </w:r>
      <w:bookmarkEnd w:id="71"/>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一、申购与赎回场所</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的申购与赎回将通过销售机构进行。具体的销售机构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二、申购与赎回的开放日及时间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、开放日及开放时间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、申购、赎回开始日及业务办理时间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基金管理人自基金合同生效之日起不超过三个月开始办理申购，具体业务办理时间在申购开始公告中规定。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基金管理人自基金合同生效之日起不超过三个月开始办理赎回，具体业务办理时间在赎回开始公告中规定。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在确定申购开始与赎回开始时间后，基金管理人应在申购、赎回开放日前依照《信息披露办法》的有关规定在指定媒介上公告申购与赎回的开始时间。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三、申购与赎回的原则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未知价</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原则，即申购、赎回价格以申请当日收市后计算的基金份额净值为基准进行计算；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金额申购、份额赎回</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原则，即申购以金额申请，赎回以份额申请；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、当日的申购与赎回申请可以在基金管理人规定的时间以内撤销；</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、赎回遵循</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先进先出</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原则，即按照投资人认购、申购的先后次序进行顺序赎回。</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基金管理人可在法律法规允许的情况下，对上述原则进行调整。基金管理人必须在新规则开始实施前依照《信息披露办法》的有关规定在指定媒介上公告。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四、申购与赎回的程序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、申购和赎回的申请方式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投资人必须根据销售机构规定的程序，在开放日的具体业务办理时间内提出申购或赎回的申请。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、申购和赎回的款项支付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投资人赎回申请成功后，基金管理人将在</w:t>
      </w:r>
      <w:r w:rsidRPr="00417752">
        <w:rPr>
          <w:rFonts w:ascii="Verdana" w:eastAsia="宋体" w:hAnsi="Verdana" w:cs="宋体"/>
          <w:color w:val="4B4B4B"/>
          <w:kern w:val="0"/>
          <w:szCs w:val="21"/>
        </w:rPr>
        <w:t>T</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日</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包括该日</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、申购和赎回申请的确认</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基金管理人应以交易时间结束前受理有效申购和赎回申请的当天作为申购或赎回申请日</w:t>
      </w:r>
      <w:r w:rsidRPr="00417752">
        <w:rPr>
          <w:rFonts w:ascii="Verdana" w:eastAsia="宋体" w:hAnsi="Verdana" w:cs="宋体"/>
          <w:color w:val="4B4B4B"/>
          <w:kern w:val="0"/>
          <w:szCs w:val="21"/>
        </w:rPr>
        <w:t>(T</w:t>
      </w:r>
      <w:r w:rsidRPr="00417752">
        <w:rPr>
          <w:rFonts w:ascii="Verdana" w:eastAsia="宋体" w:hAnsi="Verdana" w:cs="宋体"/>
          <w:color w:val="4B4B4B"/>
          <w:kern w:val="0"/>
          <w:szCs w:val="21"/>
        </w:rPr>
        <w:t>日</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，在正常情况下，本基金登记机构在</w:t>
      </w:r>
      <w:r w:rsidRPr="00417752">
        <w:rPr>
          <w:rFonts w:ascii="Verdana" w:eastAsia="宋体" w:hAnsi="Verdana" w:cs="宋体"/>
          <w:color w:val="4B4B4B"/>
          <w:kern w:val="0"/>
          <w:szCs w:val="21"/>
        </w:rPr>
        <w:t>T+1</w:t>
      </w:r>
      <w:r w:rsidRPr="00417752">
        <w:rPr>
          <w:rFonts w:ascii="Verdana" w:eastAsia="宋体" w:hAnsi="Verdana" w:cs="宋体"/>
          <w:color w:val="4B4B4B"/>
          <w:kern w:val="0"/>
          <w:szCs w:val="21"/>
        </w:rPr>
        <w:t>日内对该交易的有效性进行确认。</w:t>
      </w:r>
      <w:r w:rsidRPr="00417752">
        <w:rPr>
          <w:rFonts w:ascii="Verdana" w:eastAsia="宋体" w:hAnsi="Verdana" w:cs="宋体"/>
          <w:color w:val="4B4B4B"/>
          <w:kern w:val="0"/>
          <w:szCs w:val="21"/>
        </w:rPr>
        <w:t>T</w:t>
      </w:r>
      <w:r w:rsidRPr="00417752">
        <w:rPr>
          <w:rFonts w:ascii="Verdana" w:eastAsia="宋体" w:hAnsi="Verdana" w:cs="宋体"/>
          <w:color w:val="4B4B4B"/>
          <w:kern w:val="0"/>
          <w:szCs w:val="21"/>
        </w:rPr>
        <w:t>日提交的有效申请，投资人可在</w:t>
      </w:r>
      <w:r w:rsidRPr="00417752">
        <w:rPr>
          <w:rFonts w:ascii="Verdana" w:eastAsia="宋体" w:hAnsi="Verdana" w:cs="宋体"/>
          <w:color w:val="4B4B4B"/>
          <w:kern w:val="0"/>
          <w:szCs w:val="21"/>
        </w:rPr>
        <w:t>T+2</w:t>
      </w:r>
      <w:r w:rsidRPr="00417752">
        <w:rPr>
          <w:rFonts w:ascii="Verdana" w:eastAsia="宋体" w:hAnsi="Verdana" w:cs="宋体"/>
          <w:color w:val="4B4B4B"/>
          <w:kern w:val="0"/>
          <w:szCs w:val="21"/>
        </w:rPr>
        <w:t>日后</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包括该日</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到销售网点柜台或以销售机构规定的其他方式查询申请的确认情况。若申购不成功，则申购款项退还给投资人。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五、申购与赎回的数额限制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、本基金首次申购和追加申购的最低金额均为</w:t>
      </w:r>
      <w:r w:rsidRPr="00417752">
        <w:rPr>
          <w:rFonts w:ascii="Verdana" w:eastAsia="宋体" w:hAnsi="Verdana" w:cs="宋体"/>
          <w:color w:val="4B4B4B"/>
          <w:kern w:val="0"/>
          <w:szCs w:val="21"/>
        </w:rPr>
        <w:t>1,000</w:t>
      </w:r>
      <w:r w:rsidRPr="00417752">
        <w:rPr>
          <w:rFonts w:ascii="Verdana" w:eastAsia="宋体" w:hAnsi="Verdana" w:cs="宋体"/>
          <w:color w:val="4B4B4B"/>
          <w:kern w:val="0"/>
          <w:szCs w:val="21"/>
        </w:rPr>
        <w:t>元，基金销售机构另有规定的，以基金销售机构的规定为准。本基金单笔赎回申请不低于</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份，投资人全额赎回时不受上述限制。各销售机构在符合上述规定的前提下，可根据情况调高单笔最低赎回份额要求，具体以销售机构公布的为准，投资人需遵循销售机构的相关规定；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、本基金不对投资人每个交易账户的最低基金份额余额进行限制；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、本基金不对单个投资人累计持有的基金份额上限进行限制；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、基金管理人可在法律法规允许的情况下，调整上述规定申购金额和赎回份额的数量限制。基金管理人必须在调整前依照《信息披露办法》的有关规定在指定媒介上公告并报中国证监会备案。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六、申购费用和赎回费用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、本基金的申购费率最高不高于</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，且随申购金额的增加而递减，如下表所示</w:t>
      </w:r>
    </w:p>
    <w:tbl>
      <w:tblPr>
        <w:tblW w:w="60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50"/>
        <w:gridCol w:w="3240"/>
      </w:tblGrid>
      <w:tr w:rsidR="00417752" w:rsidRPr="00417752" w:rsidTr="00417752">
        <w:trPr>
          <w:tblCellSpacing w:w="0" w:type="dxa"/>
          <w:jc w:val="center"/>
        </w:trPr>
        <w:tc>
          <w:tcPr>
            <w:tcW w:w="285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申购金额（</w:t>
            </w:r>
            <w:r w:rsidRPr="00417752">
              <w:rPr>
                <w:rFonts w:ascii="ˎ̥" w:eastAsia="宋体" w:hAnsi="ˎ̥" w:cs="宋体"/>
                <w:color w:val="4B4B4B"/>
                <w:kern w:val="0"/>
                <w:szCs w:val="21"/>
              </w:rPr>
              <w:t>M</w:t>
            </w:r>
            <w:r w:rsidRPr="00417752">
              <w:rPr>
                <w:rFonts w:ascii="ˎ̥" w:eastAsia="宋体" w:hAnsi="ˎ̥" w:cs="宋体"/>
                <w:color w:val="4B4B4B"/>
                <w:kern w:val="0"/>
                <w:szCs w:val="21"/>
              </w:rPr>
              <w:t>）</w:t>
            </w:r>
          </w:p>
        </w:tc>
        <w:tc>
          <w:tcPr>
            <w:tcW w:w="324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申购费率</w:t>
            </w:r>
          </w:p>
        </w:tc>
      </w:tr>
      <w:tr w:rsidR="00417752" w:rsidRPr="00417752" w:rsidTr="00417752">
        <w:trPr>
          <w:tblCellSpacing w:w="0" w:type="dxa"/>
          <w:jc w:val="center"/>
        </w:trPr>
        <w:tc>
          <w:tcPr>
            <w:tcW w:w="285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M</w:t>
            </w:r>
            <w:r w:rsidRPr="00417752">
              <w:rPr>
                <w:rFonts w:ascii="ˎ̥" w:eastAsia="宋体" w:hAnsi="ˎ̥" w:cs="宋体"/>
                <w:color w:val="4B4B4B"/>
                <w:kern w:val="0"/>
                <w:szCs w:val="21"/>
              </w:rPr>
              <w:t>＜</w:t>
            </w:r>
            <w:r w:rsidRPr="00417752">
              <w:rPr>
                <w:rFonts w:ascii="ˎ̥" w:eastAsia="宋体" w:hAnsi="ˎ̥" w:cs="宋体"/>
                <w:color w:val="4B4B4B"/>
                <w:kern w:val="0"/>
                <w:szCs w:val="21"/>
              </w:rPr>
              <w:t>100</w:t>
            </w:r>
            <w:r w:rsidRPr="00417752">
              <w:rPr>
                <w:rFonts w:ascii="ˎ̥" w:eastAsia="宋体" w:hAnsi="ˎ̥" w:cs="宋体"/>
                <w:color w:val="4B4B4B"/>
                <w:kern w:val="0"/>
                <w:szCs w:val="21"/>
              </w:rPr>
              <w:t>万</w:t>
            </w:r>
          </w:p>
        </w:tc>
        <w:tc>
          <w:tcPr>
            <w:tcW w:w="324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1.5%</w:t>
            </w:r>
          </w:p>
        </w:tc>
      </w:tr>
      <w:tr w:rsidR="00417752" w:rsidRPr="00417752" w:rsidTr="00417752">
        <w:trPr>
          <w:tblCellSpacing w:w="0" w:type="dxa"/>
          <w:jc w:val="center"/>
        </w:trPr>
        <w:tc>
          <w:tcPr>
            <w:tcW w:w="285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100</w:t>
            </w:r>
            <w:r w:rsidRPr="00417752">
              <w:rPr>
                <w:rFonts w:ascii="ˎ̥" w:eastAsia="宋体" w:hAnsi="ˎ̥" w:cs="宋体"/>
                <w:color w:val="4B4B4B"/>
                <w:kern w:val="0"/>
                <w:szCs w:val="21"/>
              </w:rPr>
              <w:t>万</w:t>
            </w:r>
            <w:r w:rsidRPr="00417752">
              <w:rPr>
                <w:rFonts w:ascii="ˎ̥" w:eastAsia="宋体" w:hAnsi="ˎ̥" w:cs="宋体"/>
                <w:color w:val="4B4B4B"/>
                <w:kern w:val="0"/>
                <w:szCs w:val="21"/>
              </w:rPr>
              <w:t>≤M</w:t>
            </w:r>
            <w:r w:rsidRPr="00417752">
              <w:rPr>
                <w:rFonts w:ascii="ˎ̥" w:eastAsia="宋体" w:hAnsi="ˎ̥" w:cs="宋体"/>
                <w:color w:val="4B4B4B"/>
                <w:kern w:val="0"/>
                <w:szCs w:val="21"/>
              </w:rPr>
              <w:t>＜</w:t>
            </w:r>
            <w:r w:rsidRPr="00417752">
              <w:rPr>
                <w:rFonts w:ascii="ˎ̥" w:eastAsia="宋体" w:hAnsi="ˎ̥" w:cs="宋体"/>
                <w:color w:val="4B4B4B"/>
                <w:kern w:val="0"/>
                <w:szCs w:val="21"/>
              </w:rPr>
              <w:t>500</w:t>
            </w:r>
            <w:r w:rsidRPr="00417752">
              <w:rPr>
                <w:rFonts w:ascii="ˎ̥" w:eastAsia="宋体" w:hAnsi="ˎ̥" w:cs="宋体"/>
                <w:color w:val="4B4B4B"/>
                <w:kern w:val="0"/>
                <w:szCs w:val="21"/>
              </w:rPr>
              <w:t>万</w:t>
            </w:r>
          </w:p>
        </w:tc>
        <w:tc>
          <w:tcPr>
            <w:tcW w:w="324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0.9%</w:t>
            </w:r>
          </w:p>
        </w:tc>
      </w:tr>
      <w:tr w:rsidR="00417752" w:rsidRPr="00417752" w:rsidTr="00417752">
        <w:trPr>
          <w:tblCellSpacing w:w="0" w:type="dxa"/>
          <w:jc w:val="center"/>
        </w:trPr>
        <w:tc>
          <w:tcPr>
            <w:tcW w:w="285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500</w:t>
            </w:r>
            <w:r w:rsidRPr="00417752">
              <w:rPr>
                <w:rFonts w:ascii="ˎ̥" w:eastAsia="宋体" w:hAnsi="ˎ̥" w:cs="宋体"/>
                <w:color w:val="4B4B4B"/>
                <w:kern w:val="0"/>
                <w:szCs w:val="21"/>
              </w:rPr>
              <w:t>万</w:t>
            </w:r>
            <w:r w:rsidRPr="00417752">
              <w:rPr>
                <w:rFonts w:ascii="ˎ̥" w:eastAsia="宋体" w:hAnsi="ˎ̥" w:cs="宋体"/>
                <w:color w:val="4B4B4B"/>
                <w:kern w:val="0"/>
                <w:szCs w:val="21"/>
              </w:rPr>
              <w:t>≤M</w:t>
            </w:r>
            <w:r w:rsidRPr="00417752">
              <w:rPr>
                <w:rFonts w:ascii="ˎ̥" w:eastAsia="宋体" w:hAnsi="ˎ̥" w:cs="宋体"/>
                <w:color w:val="4B4B4B"/>
                <w:kern w:val="0"/>
                <w:szCs w:val="21"/>
              </w:rPr>
              <w:t>＜</w:t>
            </w:r>
            <w:r w:rsidRPr="00417752">
              <w:rPr>
                <w:rFonts w:ascii="ˎ̥" w:eastAsia="宋体" w:hAnsi="ˎ̥" w:cs="宋体"/>
                <w:color w:val="4B4B4B"/>
                <w:kern w:val="0"/>
                <w:szCs w:val="21"/>
              </w:rPr>
              <w:t>1000</w:t>
            </w:r>
            <w:r w:rsidRPr="00417752">
              <w:rPr>
                <w:rFonts w:ascii="ˎ̥" w:eastAsia="宋体" w:hAnsi="ˎ̥" w:cs="宋体"/>
                <w:color w:val="4B4B4B"/>
                <w:kern w:val="0"/>
                <w:szCs w:val="21"/>
              </w:rPr>
              <w:t>万</w:t>
            </w:r>
          </w:p>
        </w:tc>
        <w:tc>
          <w:tcPr>
            <w:tcW w:w="324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0.3%</w:t>
            </w:r>
          </w:p>
        </w:tc>
      </w:tr>
      <w:tr w:rsidR="00417752" w:rsidRPr="00417752" w:rsidTr="00417752">
        <w:trPr>
          <w:tblCellSpacing w:w="0" w:type="dxa"/>
          <w:jc w:val="center"/>
        </w:trPr>
        <w:tc>
          <w:tcPr>
            <w:tcW w:w="285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M≥1000</w:t>
            </w:r>
            <w:r w:rsidRPr="00417752">
              <w:rPr>
                <w:rFonts w:ascii="ˎ̥" w:eastAsia="宋体" w:hAnsi="ˎ̥" w:cs="宋体"/>
                <w:color w:val="4B4B4B"/>
                <w:kern w:val="0"/>
                <w:szCs w:val="21"/>
              </w:rPr>
              <w:t>万</w:t>
            </w:r>
          </w:p>
        </w:tc>
        <w:tc>
          <w:tcPr>
            <w:tcW w:w="3240" w:type="dxa"/>
            <w:tcBorders>
              <w:top w:val="outset" w:sz="6" w:space="0" w:color="auto"/>
              <w:left w:val="outset" w:sz="6" w:space="0" w:color="auto"/>
              <w:bottom w:val="outset" w:sz="6" w:space="0" w:color="auto"/>
              <w:right w:val="outset" w:sz="6" w:space="0" w:color="auto"/>
            </w:tcBorders>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每笔</w:t>
            </w:r>
            <w:r w:rsidRPr="00417752">
              <w:rPr>
                <w:rFonts w:ascii="ˎ̥" w:eastAsia="宋体" w:hAnsi="ˎ̥" w:cs="宋体"/>
                <w:color w:val="4B4B4B"/>
                <w:kern w:val="0"/>
                <w:szCs w:val="21"/>
              </w:rPr>
              <w:t>1,000</w:t>
            </w:r>
            <w:r w:rsidRPr="00417752">
              <w:rPr>
                <w:rFonts w:ascii="ˎ̥" w:eastAsia="宋体" w:hAnsi="ˎ̥" w:cs="宋体"/>
                <w:color w:val="4B4B4B"/>
                <w:kern w:val="0"/>
                <w:szCs w:val="21"/>
              </w:rPr>
              <w:t>元</w:t>
            </w:r>
          </w:p>
        </w:tc>
      </w:tr>
    </w:tbl>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投资人重复申购，须按每次申购所对应的费率档次分别计费。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申购费用由投资人承担，不列入基金财产，主要用于本基金的市场推广、销售、登记等各项费用。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、本基金赎回费率最高不超过</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，随申请份额持有时间增加而递减。具体如下表所示（其中</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年指</w:t>
      </w:r>
      <w:r w:rsidRPr="00417752">
        <w:rPr>
          <w:rFonts w:ascii="Verdana" w:eastAsia="宋体" w:hAnsi="Verdana" w:cs="宋体"/>
          <w:color w:val="4B4B4B"/>
          <w:kern w:val="0"/>
          <w:szCs w:val="21"/>
        </w:rPr>
        <w:t>365</w:t>
      </w:r>
      <w:r w:rsidRPr="00417752">
        <w:rPr>
          <w:rFonts w:ascii="Verdana" w:eastAsia="宋体" w:hAnsi="Verdana" w:cs="宋体"/>
          <w:color w:val="4B4B4B"/>
          <w:kern w:val="0"/>
          <w:szCs w:val="21"/>
        </w:rPr>
        <w:t>天）：</w:t>
      </w:r>
    </w:p>
    <w:tbl>
      <w:tblPr>
        <w:tblW w:w="7140" w:type="dxa"/>
        <w:jc w:val="center"/>
        <w:tblCellSpacing w:w="0" w:type="dxa"/>
        <w:tblCellMar>
          <w:left w:w="0" w:type="dxa"/>
          <w:right w:w="0" w:type="dxa"/>
        </w:tblCellMar>
        <w:tblLook w:val="04A0"/>
      </w:tblPr>
      <w:tblGrid>
        <w:gridCol w:w="4470"/>
        <w:gridCol w:w="2670"/>
      </w:tblGrid>
      <w:tr w:rsidR="00417752" w:rsidRPr="00417752" w:rsidTr="00417752">
        <w:trPr>
          <w:tblCellSpacing w:w="0" w:type="dxa"/>
          <w:jc w:val="center"/>
        </w:trPr>
        <w:tc>
          <w:tcPr>
            <w:tcW w:w="4470" w:type="dxa"/>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申请份额持有时间（</w:t>
            </w:r>
            <w:r w:rsidRPr="00417752">
              <w:rPr>
                <w:rFonts w:ascii="ˎ̥" w:eastAsia="宋体" w:hAnsi="ˎ̥" w:cs="宋体"/>
                <w:color w:val="4B4B4B"/>
                <w:kern w:val="0"/>
                <w:szCs w:val="21"/>
              </w:rPr>
              <w:t>N</w:t>
            </w:r>
            <w:r w:rsidRPr="00417752">
              <w:rPr>
                <w:rFonts w:ascii="ˎ̥" w:eastAsia="宋体" w:hAnsi="ˎ̥" w:cs="宋体"/>
                <w:color w:val="4B4B4B"/>
                <w:kern w:val="0"/>
                <w:szCs w:val="21"/>
              </w:rPr>
              <w:t>）</w:t>
            </w:r>
          </w:p>
        </w:tc>
        <w:tc>
          <w:tcPr>
            <w:tcW w:w="2670" w:type="dxa"/>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赎回费率</w:t>
            </w:r>
          </w:p>
        </w:tc>
      </w:tr>
      <w:tr w:rsidR="00417752" w:rsidRPr="00417752" w:rsidTr="00417752">
        <w:trPr>
          <w:tblCellSpacing w:w="0" w:type="dxa"/>
          <w:jc w:val="center"/>
        </w:trPr>
        <w:tc>
          <w:tcPr>
            <w:tcW w:w="4470" w:type="dxa"/>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N</w:t>
            </w:r>
            <w:r w:rsidRPr="00417752">
              <w:rPr>
                <w:rFonts w:ascii="ˎ̥" w:eastAsia="宋体" w:hAnsi="ˎ̥" w:cs="宋体"/>
                <w:color w:val="4B4B4B"/>
                <w:kern w:val="0"/>
                <w:szCs w:val="21"/>
              </w:rPr>
              <w:t>＜</w:t>
            </w:r>
            <w:r w:rsidRPr="00417752">
              <w:rPr>
                <w:rFonts w:ascii="ˎ̥" w:eastAsia="宋体" w:hAnsi="ˎ̥" w:cs="宋体"/>
                <w:color w:val="4B4B4B"/>
                <w:kern w:val="0"/>
                <w:szCs w:val="21"/>
              </w:rPr>
              <w:t>7</w:t>
            </w:r>
            <w:r w:rsidRPr="00417752">
              <w:rPr>
                <w:rFonts w:ascii="ˎ̥" w:eastAsia="宋体" w:hAnsi="ˎ̥" w:cs="宋体"/>
                <w:color w:val="4B4B4B"/>
                <w:kern w:val="0"/>
                <w:szCs w:val="21"/>
              </w:rPr>
              <w:t>日</w:t>
            </w:r>
          </w:p>
        </w:tc>
        <w:tc>
          <w:tcPr>
            <w:tcW w:w="2670" w:type="dxa"/>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1.5%</w:t>
            </w:r>
          </w:p>
        </w:tc>
      </w:tr>
      <w:tr w:rsidR="00417752" w:rsidRPr="00417752" w:rsidTr="00417752">
        <w:trPr>
          <w:tblCellSpacing w:w="0" w:type="dxa"/>
          <w:jc w:val="center"/>
        </w:trPr>
        <w:tc>
          <w:tcPr>
            <w:tcW w:w="4470" w:type="dxa"/>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7</w:t>
            </w:r>
            <w:r w:rsidRPr="00417752">
              <w:rPr>
                <w:rFonts w:ascii="ˎ̥" w:eastAsia="宋体" w:hAnsi="ˎ̥" w:cs="宋体"/>
                <w:color w:val="4B4B4B"/>
                <w:kern w:val="0"/>
                <w:szCs w:val="21"/>
              </w:rPr>
              <w:t>日</w:t>
            </w:r>
            <w:r w:rsidRPr="00417752">
              <w:rPr>
                <w:rFonts w:ascii="ˎ̥" w:eastAsia="宋体" w:hAnsi="ˎ̥" w:cs="宋体"/>
                <w:color w:val="4B4B4B"/>
                <w:kern w:val="0"/>
                <w:szCs w:val="21"/>
              </w:rPr>
              <w:t>≤N</w:t>
            </w:r>
            <w:r w:rsidRPr="00417752">
              <w:rPr>
                <w:rFonts w:ascii="ˎ̥" w:eastAsia="宋体" w:hAnsi="ˎ̥" w:cs="宋体"/>
                <w:color w:val="4B4B4B"/>
                <w:kern w:val="0"/>
                <w:szCs w:val="21"/>
              </w:rPr>
              <w:t>＜</w:t>
            </w:r>
            <w:r w:rsidRPr="00417752">
              <w:rPr>
                <w:rFonts w:ascii="ˎ̥" w:eastAsia="宋体" w:hAnsi="ˎ̥" w:cs="宋体"/>
                <w:color w:val="4B4B4B"/>
                <w:kern w:val="0"/>
                <w:szCs w:val="21"/>
              </w:rPr>
              <w:t>30</w:t>
            </w:r>
            <w:r w:rsidRPr="00417752">
              <w:rPr>
                <w:rFonts w:ascii="ˎ̥" w:eastAsia="宋体" w:hAnsi="ˎ̥" w:cs="宋体"/>
                <w:color w:val="4B4B4B"/>
                <w:kern w:val="0"/>
                <w:szCs w:val="21"/>
              </w:rPr>
              <w:t>日</w:t>
            </w:r>
          </w:p>
        </w:tc>
        <w:tc>
          <w:tcPr>
            <w:tcW w:w="2670" w:type="dxa"/>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0.75%</w:t>
            </w:r>
          </w:p>
        </w:tc>
      </w:tr>
      <w:tr w:rsidR="00417752" w:rsidRPr="00417752" w:rsidTr="00417752">
        <w:trPr>
          <w:tblCellSpacing w:w="0" w:type="dxa"/>
          <w:jc w:val="center"/>
        </w:trPr>
        <w:tc>
          <w:tcPr>
            <w:tcW w:w="4470" w:type="dxa"/>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30</w:t>
            </w:r>
            <w:r w:rsidRPr="00417752">
              <w:rPr>
                <w:rFonts w:ascii="ˎ̥" w:eastAsia="宋体" w:hAnsi="ˎ̥" w:cs="宋体"/>
                <w:color w:val="4B4B4B"/>
                <w:kern w:val="0"/>
                <w:szCs w:val="21"/>
              </w:rPr>
              <w:t>日</w:t>
            </w:r>
            <w:r w:rsidRPr="00417752">
              <w:rPr>
                <w:rFonts w:ascii="ˎ̥" w:eastAsia="宋体" w:hAnsi="ˎ̥" w:cs="宋体"/>
                <w:color w:val="4B4B4B"/>
                <w:kern w:val="0"/>
                <w:szCs w:val="21"/>
              </w:rPr>
              <w:t>≤N</w:t>
            </w:r>
            <w:r w:rsidRPr="00417752">
              <w:rPr>
                <w:rFonts w:ascii="ˎ̥" w:eastAsia="宋体" w:hAnsi="ˎ̥" w:cs="宋体"/>
                <w:color w:val="4B4B4B"/>
                <w:kern w:val="0"/>
                <w:szCs w:val="21"/>
              </w:rPr>
              <w:t>＜</w:t>
            </w:r>
            <w:r w:rsidRPr="00417752">
              <w:rPr>
                <w:rFonts w:ascii="ˎ̥" w:eastAsia="宋体" w:hAnsi="ˎ̥" w:cs="宋体"/>
                <w:color w:val="4B4B4B"/>
                <w:kern w:val="0"/>
                <w:szCs w:val="21"/>
              </w:rPr>
              <w:t>1</w:t>
            </w:r>
            <w:r w:rsidRPr="00417752">
              <w:rPr>
                <w:rFonts w:ascii="ˎ̥" w:eastAsia="宋体" w:hAnsi="ˎ̥" w:cs="宋体"/>
                <w:color w:val="4B4B4B"/>
                <w:kern w:val="0"/>
                <w:szCs w:val="21"/>
              </w:rPr>
              <w:t>年</w:t>
            </w:r>
          </w:p>
        </w:tc>
        <w:tc>
          <w:tcPr>
            <w:tcW w:w="2670" w:type="dxa"/>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0.5%</w:t>
            </w:r>
          </w:p>
        </w:tc>
      </w:tr>
      <w:tr w:rsidR="00417752" w:rsidRPr="00417752" w:rsidTr="00417752">
        <w:trPr>
          <w:tblCellSpacing w:w="0" w:type="dxa"/>
          <w:jc w:val="center"/>
        </w:trPr>
        <w:tc>
          <w:tcPr>
            <w:tcW w:w="4470" w:type="dxa"/>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1</w:t>
            </w:r>
            <w:r w:rsidRPr="00417752">
              <w:rPr>
                <w:rFonts w:ascii="ˎ̥" w:eastAsia="宋体" w:hAnsi="ˎ̥" w:cs="宋体"/>
                <w:color w:val="4B4B4B"/>
                <w:kern w:val="0"/>
                <w:szCs w:val="21"/>
              </w:rPr>
              <w:t>年</w:t>
            </w:r>
            <w:r w:rsidRPr="00417752">
              <w:rPr>
                <w:rFonts w:ascii="ˎ̥" w:eastAsia="宋体" w:hAnsi="ˎ̥" w:cs="宋体"/>
                <w:color w:val="4B4B4B"/>
                <w:kern w:val="0"/>
                <w:szCs w:val="21"/>
              </w:rPr>
              <w:t>≤N</w:t>
            </w:r>
            <w:r w:rsidRPr="00417752">
              <w:rPr>
                <w:rFonts w:ascii="ˎ̥" w:eastAsia="宋体" w:hAnsi="ˎ̥" w:cs="宋体"/>
                <w:color w:val="4B4B4B"/>
                <w:kern w:val="0"/>
                <w:szCs w:val="21"/>
              </w:rPr>
              <w:t>＜</w:t>
            </w:r>
            <w:r w:rsidRPr="00417752">
              <w:rPr>
                <w:rFonts w:ascii="ˎ̥" w:eastAsia="宋体" w:hAnsi="ˎ̥" w:cs="宋体"/>
                <w:color w:val="4B4B4B"/>
                <w:kern w:val="0"/>
                <w:szCs w:val="21"/>
              </w:rPr>
              <w:t>2</w:t>
            </w:r>
            <w:r w:rsidRPr="00417752">
              <w:rPr>
                <w:rFonts w:ascii="ˎ̥" w:eastAsia="宋体" w:hAnsi="ˎ̥" w:cs="宋体"/>
                <w:color w:val="4B4B4B"/>
                <w:kern w:val="0"/>
                <w:szCs w:val="21"/>
              </w:rPr>
              <w:t>年</w:t>
            </w:r>
          </w:p>
        </w:tc>
        <w:tc>
          <w:tcPr>
            <w:tcW w:w="2670" w:type="dxa"/>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0.3%</w:t>
            </w:r>
          </w:p>
        </w:tc>
      </w:tr>
      <w:tr w:rsidR="00417752" w:rsidRPr="00417752" w:rsidTr="00417752">
        <w:trPr>
          <w:tblCellSpacing w:w="0" w:type="dxa"/>
          <w:jc w:val="center"/>
        </w:trPr>
        <w:tc>
          <w:tcPr>
            <w:tcW w:w="4470" w:type="dxa"/>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N≥2</w:t>
            </w:r>
            <w:r w:rsidRPr="00417752">
              <w:rPr>
                <w:rFonts w:ascii="ˎ̥" w:eastAsia="宋体" w:hAnsi="ˎ̥" w:cs="宋体"/>
                <w:color w:val="4B4B4B"/>
                <w:kern w:val="0"/>
                <w:szCs w:val="21"/>
              </w:rPr>
              <w:t>年</w:t>
            </w:r>
          </w:p>
        </w:tc>
        <w:tc>
          <w:tcPr>
            <w:tcW w:w="2670" w:type="dxa"/>
            <w:vAlign w:val="center"/>
            <w:hideMark/>
          </w:tcPr>
          <w:p w:rsidR="00417752" w:rsidRPr="00417752" w:rsidRDefault="00417752" w:rsidP="00417752">
            <w:pPr>
              <w:widowControl/>
              <w:spacing w:before="100" w:beforeAutospacing="1" w:after="100" w:afterAutospacing="1" w:line="245" w:lineRule="atLeast"/>
              <w:jc w:val="left"/>
              <w:rPr>
                <w:rFonts w:ascii="ˎ̥" w:eastAsia="宋体" w:hAnsi="ˎ̥" w:cs="宋体"/>
                <w:color w:val="4B4B4B"/>
                <w:kern w:val="0"/>
                <w:szCs w:val="21"/>
              </w:rPr>
            </w:pPr>
            <w:r w:rsidRPr="00417752">
              <w:rPr>
                <w:rFonts w:ascii="ˎ̥" w:eastAsia="宋体" w:hAnsi="ˎ̥" w:cs="宋体"/>
                <w:color w:val="4B4B4B"/>
                <w:kern w:val="0"/>
                <w:szCs w:val="21"/>
              </w:rPr>
              <w:t xml:space="preserve">　　</w:t>
            </w:r>
            <w:r w:rsidRPr="00417752">
              <w:rPr>
                <w:rFonts w:ascii="ˎ̥" w:eastAsia="宋体" w:hAnsi="ˎ̥" w:cs="宋体"/>
                <w:color w:val="4B4B4B"/>
                <w:kern w:val="0"/>
                <w:szCs w:val="21"/>
              </w:rPr>
              <w:t>0</w:t>
            </w:r>
          </w:p>
        </w:tc>
      </w:tr>
    </w:tbl>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投资人可将其持有的全部或部分基金份额赎回。赎回费用由赎回基金份额的基金份额持有人承担，在基金份额持有人赎回基金份额时收取。对于持有期少于</w:t>
      </w:r>
      <w:r w:rsidRPr="00417752">
        <w:rPr>
          <w:rFonts w:ascii="Verdana" w:eastAsia="宋体" w:hAnsi="Verdana" w:cs="宋体"/>
          <w:color w:val="4B4B4B"/>
          <w:kern w:val="0"/>
          <w:szCs w:val="21"/>
        </w:rPr>
        <w:t>30</w:t>
      </w:r>
      <w:r w:rsidRPr="00417752">
        <w:rPr>
          <w:rFonts w:ascii="Verdana" w:eastAsia="宋体" w:hAnsi="Verdana" w:cs="宋体"/>
          <w:color w:val="4B4B4B"/>
          <w:kern w:val="0"/>
          <w:szCs w:val="21"/>
        </w:rPr>
        <w:t>日的基金份额所收取的赎回费，赎回费用全额归入基金财产；对于持有期长于</w:t>
      </w:r>
      <w:r w:rsidRPr="00417752">
        <w:rPr>
          <w:rFonts w:ascii="Verdana" w:eastAsia="宋体" w:hAnsi="Verdana" w:cs="宋体"/>
          <w:color w:val="4B4B4B"/>
          <w:kern w:val="0"/>
          <w:szCs w:val="21"/>
        </w:rPr>
        <w:t>30</w:t>
      </w:r>
      <w:r w:rsidRPr="00417752">
        <w:rPr>
          <w:rFonts w:ascii="Verdana" w:eastAsia="宋体" w:hAnsi="Verdana" w:cs="宋体"/>
          <w:color w:val="4B4B4B"/>
          <w:kern w:val="0"/>
          <w:szCs w:val="21"/>
        </w:rPr>
        <w:t>日但少于</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个月的基金份额所收取的赎回费，赎回费用</w:t>
      </w:r>
      <w:r w:rsidRPr="00417752">
        <w:rPr>
          <w:rFonts w:ascii="Verdana" w:eastAsia="宋体" w:hAnsi="Verdana" w:cs="宋体"/>
          <w:color w:val="4B4B4B"/>
          <w:kern w:val="0"/>
          <w:szCs w:val="21"/>
        </w:rPr>
        <w:t>75%</w:t>
      </w:r>
      <w:r w:rsidRPr="00417752">
        <w:rPr>
          <w:rFonts w:ascii="Verdana" w:eastAsia="宋体" w:hAnsi="Verdana" w:cs="宋体"/>
          <w:color w:val="4B4B4B"/>
          <w:kern w:val="0"/>
          <w:szCs w:val="21"/>
        </w:rPr>
        <w:t>归入基金财产；对于持有期长于</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个月但小于</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个月的基金份额所收取的赎回费，赎回费用</w:t>
      </w:r>
      <w:r w:rsidRPr="00417752">
        <w:rPr>
          <w:rFonts w:ascii="Verdana" w:eastAsia="宋体" w:hAnsi="Verdana" w:cs="宋体"/>
          <w:color w:val="4B4B4B"/>
          <w:kern w:val="0"/>
          <w:szCs w:val="21"/>
        </w:rPr>
        <w:t>50%</w:t>
      </w:r>
      <w:r w:rsidRPr="00417752">
        <w:rPr>
          <w:rFonts w:ascii="Verdana" w:eastAsia="宋体" w:hAnsi="Verdana" w:cs="宋体"/>
          <w:color w:val="4B4B4B"/>
          <w:kern w:val="0"/>
          <w:szCs w:val="21"/>
        </w:rPr>
        <w:t>归入基金财产；对于持有期长于</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个月的基金份额所收取的赎回费，赎回费用</w:t>
      </w:r>
      <w:r w:rsidRPr="00417752">
        <w:rPr>
          <w:rFonts w:ascii="Verdana" w:eastAsia="宋体" w:hAnsi="Verdana" w:cs="宋体"/>
          <w:color w:val="4B4B4B"/>
          <w:kern w:val="0"/>
          <w:szCs w:val="21"/>
        </w:rPr>
        <w:t>25%</w:t>
      </w:r>
      <w:r w:rsidRPr="00417752">
        <w:rPr>
          <w:rFonts w:ascii="Verdana" w:eastAsia="宋体" w:hAnsi="Verdana" w:cs="宋体"/>
          <w:color w:val="4B4B4B"/>
          <w:kern w:val="0"/>
          <w:szCs w:val="21"/>
        </w:rPr>
        <w:t>归入基金财产。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本基金的申购费率、赎回费率和收费方式由基金管理人根据《基金合同》的规定确定。基金管理人可以根据《基金合同》的相关约定调整费率或收费方式，基金管理人最迟应于新的费率或收费方式实施前依照《信息披露办法》的有关规定在指定媒介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七、申购份额与赎回金额的计算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、基金申购份额的计算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本基金的申购金额包括申购费用和净申购金额。申购份额的计算公式为：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净申购金额</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申购金额</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申购费率）</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申购费用</w:t>
      </w:r>
      <w:r w:rsidRPr="00417752">
        <w:rPr>
          <w:rFonts w:ascii="Verdana" w:eastAsia="宋体" w:hAnsi="Verdana" w:cs="宋体"/>
          <w:color w:val="4B4B4B"/>
          <w:kern w:val="0"/>
          <w:szCs w:val="21"/>
        </w:rPr>
        <w:t xml:space="preserve"> = </w:t>
      </w:r>
      <w:r w:rsidRPr="00417752">
        <w:rPr>
          <w:rFonts w:ascii="Verdana" w:eastAsia="宋体" w:hAnsi="Verdana" w:cs="宋体"/>
          <w:color w:val="4B4B4B"/>
          <w:kern w:val="0"/>
          <w:szCs w:val="21"/>
        </w:rPr>
        <w:t>申购金额－净申购金额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申购份额</w:t>
      </w:r>
      <w:r w:rsidRPr="00417752">
        <w:rPr>
          <w:rFonts w:ascii="Verdana" w:eastAsia="宋体" w:hAnsi="Verdana" w:cs="宋体"/>
          <w:color w:val="4B4B4B"/>
          <w:kern w:val="0"/>
          <w:szCs w:val="21"/>
        </w:rPr>
        <w:t xml:space="preserve"> = </w:t>
      </w:r>
      <w:r w:rsidRPr="00417752">
        <w:rPr>
          <w:rFonts w:ascii="Verdana" w:eastAsia="宋体" w:hAnsi="Verdana" w:cs="宋体"/>
          <w:color w:val="4B4B4B"/>
          <w:kern w:val="0"/>
          <w:szCs w:val="21"/>
        </w:rPr>
        <w:t>净申购金额</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申购当日基金份额净值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例：某投资人投资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万元申购本基金份额，假设申购当日基金份额净值为</w:t>
      </w:r>
      <w:r w:rsidRPr="00417752">
        <w:rPr>
          <w:rFonts w:ascii="Verdana" w:eastAsia="宋体" w:hAnsi="Verdana" w:cs="宋体"/>
          <w:color w:val="4B4B4B"/>
          <w:kern w:val="0"/>
          <w:szCs w:val="21"/>
        </w:rPr>
        <w:t>1.017</w:t>
      </w:r>
      <w:r w:rsidRPr="00417752">
        <w:rPr>
          <w:rFonts w:ascii="Verdana" w:eastAsia="宋体" w:hAnsi="Verdana" w:cs="宋体"/>
          <w:color w:val="4B4B4B"/>
          <w:kern w:val="0"/>
          <w:szCs w:val="21"/>
        </w:rPr>
        <w:t>元，对应申购费率为</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，则其可得到的申购份额为：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净申购金额＝</w:t>
      </w:r>
      <w:r w:rsidRPr="00417752">
        <w:rPr>
          <w:rFonts w:ascii="Verdana" w:eastAsia="宋体" w:hAnsi="Verdana" w:cs="宋体"/>
          <w:color w:val="4B4B4B"/>
          <w:kern w:val="0"/>
          <w:szCs w:val="21"/>
        </w:rPr>
        <w:t>100,000/ (1+1.5%</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98,522.17</w:t>
      </w:r>
      <w:r w:rsidRPr="00417752">
        <w:rPr>
          <w:rFonts w:ascii="Verdana" w:eastAsia="宋体" w:hAnsi="Verdana" w:cs="宋体"/>
          <w:color w:val="4B4B4B"/>
          <w:kern w:val="0"/>
          <w:szCs w:val="21"/>
        </w:rPr>
        <w:t>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申购费用＝</w:t>
      </w:r>
      <w:r w:rsidRPr="00417752">
        <w:rPr>
          <w:rFonts w:ascii="Verdana" w:eastAsia="宋体" w:hAnsi="Verdana" w:cs="宋体"/>
          <w:color w:val="4B4B4B"/>
          <w:kern w:val="0"/>
          <w:szCs w:val="21"/>
        </w:rPr>
        <w:t>100,000</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98,522.17</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1,477.83</w:t>
      </w:r>
      <w:r w:rsidRPr="00417752">
        <w:rPr>
          <w:rFonts w:ascii="Verdana" w:eastAsia="宋体" w:hAnsi="Verdana" w:cs="宋体"/>
          <w:color w:val="4B4B4B"/>
          <w:kern w:val="0"/>
          <w:szCs w:val="21"/>
        </w:rPr>
        <w:t>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申购份额</w:t>
      </w:r>
      <w:r w:rsidRPr="00417752">
        <w:rPr>
          <w:rFonts w:ascii="Verdana" w:eastAsia="宋体" w:hAnsi="Verdana" w:cs="宋体"/>
          <w:color w:val="4B4B4B"/>
          <w:kern w:val="0"/>
          <w:szCs w:val="21"/>
        </w:rPr>
        <w:t xml:space="preserve"> = 98,522.17/1.017 =96,875.29</w:t>
      </w:r>
      <w:r w:rsidRPr="00417752">
        <w:rPr>
          <w:rFonts w:ascii="Verdana" w:eastAsia="宋体" w:hAnsi="Verdana" w:cs="宋体"/>
          <w:color w:val="4B4B4B"/>
          <w:kern w:val="0"/>
          <w:szCs w:val="21"/>
        </w:rPr>
        <w:t>份</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、基金赎回金额的计算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本基金的赎回金额计算公式为：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赎回费用</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赎回份额</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赎回当日基金份额净值</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赎回费率</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赎回金额</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赎回份额</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赎回当日基金份额净值</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赎回费用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例：某投资人申购本基金份额，持有</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个月赎回</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万份，赎回费率为</w:t>
      </w:r>
      <w:r w:rsidRPr="00417752">
        <w:rPr>
          <w:rFonts w:ascii="Verdana" w:eastAsia="宋体" w:hAnsi="Verdana" w:cs="宋体"/>
          <w:color w:val="4B4B4B"/>
          <w:kern w:val="0"/>
          <w:szCs w:val="21"/>
        </w:rPr>
        <w:t>0.5%</w:t>
      </w:r>
      <w:r w:rsidRPr="00417752">
        <w:rPr>
          <w:rFonts w:ascii="Verdana" w:eastAsia="宋体" w:hAnsi="Verdana" w:cs="宋体"/>
          <w:color w:val="4B4B4B"/>
          <w:kern w:val="0"/>
          <w:szCs w:val="21"/>
        </w:rPr>
        <w:t>，假设赎回当日基金份额净值是</w:t>
      </w:r>
      <w:r w:rsidRPr="00417752">
        <w:rPr>
          <w:rFonts w:ascii="Verdana" w:eastAsia="宋体" w:hAnsi="Verdana" w:cs="宋体"/>
          <w:color w:val="4B4B4B"/>
          <w:kern w:val="0"/>
          <w:szCs w:val="21"/>
        </w:rPr>
        <w:t>1.017</w:t>
      </w:r>
      <w:r w:rsidRPr="00417752">
        <w:rPr>
          <w:rFonts w:ascii="Verdana" w:eastAsia="宋体" w:hAnsi="Verdana" w:cs="宋体"/>
          <w:color w:val="4B4B4B"/>
          <w:kern w:val="0"/>
          <w:szCs w:val="21"/>
        </w:rPr>
        <w:t>元，则其可得到的赎回金额为：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赎回费用＝</w:t>
      </w:r>
      <w:r w:rsidRPr="00417752">
        <w:rPr>
          <w:rFonts w:ascii="Verdana" w:eastAsia="宋体" w:hAnsi="Verdana" w:cs="宋体"/>
          <w:color w:val="4B4B4B"/>
          <w:kern w:val="0"/>
          <w:szCs w:val="21"/>
        </w:rPr>
        <w:t>100,000×1.017×0.5%</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508.5</w:t>
      </w:r>
      <w:r w:rsidRPr="00417752">
        <w:rPr>
          <w:rFonts w:ascii="Verdana" w:eastAsia="宋体" w:hAnsi="Verdana" w:cs="宋体"/>
          <w:color w:val="4B4B4B"/>
          <w:kern w:val="0"/>
          <w:szCs w:val="21"/>
        </w:rPr>
        <w:t>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赎回金额</w:t>
      </w:r>
      <w:r w:rsidRPr="00417752">
        <w:rPr>
          <w:rFonts w:ascii="Verdana" w:eastAsia="宋体" w:hAnsi="Verdana" w:cs="宋体"/>
          <w:color w:val="4B4B4B"/>
          <w:kern w:val="0"/>
          <w:szCs w:val="21"/>
        </w:rPr>
        <w:t>=100,000×1.017</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508.5</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101,191.5</w:t>
      </w:r>
      <w:r w:rsidRPr="00417752">
        <w:rPr>
          <w:rFonts w:ascii="Verdana" w:eastAsia="宋体" w:hAnsi="Verdana" w:cs="宋体"/>
          <w:color w:val="4B4B4B"/>
          <w:kern w:val="0"/>
          <w:szCs w:val="21"/>
        </w:rPr>
        <w:t>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、基金份额净值的计算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T</w:t>
      </w:r>
      <w:r w:rsidRPr="00417752">
        <w:rPr>
          <w:rFonts w:ascii="Verdana" w:eastAsia="宋体" w:hAnsi="Verdana" w:cs="宋体"/>
          <w:color w:val="4B4B4B"/>
          <w:kern w:val="0"/>
          <w:szCs w:val="21"/>
        </w:rPr>
        <w:t>日的基金份额净值在当天收市后计算，并在</w:t>
      </w:r>
      <w:r w:rsidRPr="00417752">
        <w:rPr>
          <w:rFonts w:ascii="Verdana" w:eastAsia="宋体" w:hAnsi="Verdana" w:cs="宋体"/>
          <w:color w:val="4B4B4B"/>
          <w:kern w:val="0"/>
          <w:szCs w:val="21"/>
        </w:rPr>
        <w:t>T+1</w:t>
      </w:r>
      <w:r w:rsidRPr="00417752">
        <w:rPr>
          <w:rFonts w:ascii="Verdana" w:eastAsia="宋体" w:hAnsi="Verdana" w:cs="宋体"/>
          <w:color w:val="4B4B4B"/>
          <w:kern w:val="0"/>
          <w:szCs w:val="21"/>
        </w:rPr>
        <w:t>日内公告。遇特殊情况，经中国证监会同意，可以适当延迟计算或公告。本基金份额净值的计算，保留到小数点后</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位，小数点后第</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位四舍五入，由此产生的收益或损失由基金财产承担。</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、申购份额、余额的处理方式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申购的有效份额为按实际确认的申购金额在扣除相应的费用后，以当日基金份额净值为基准计算，上述涉及基金份额的计算结果均保留到小数点后</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位，小数点后</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位以后的部分舍弃，舍弃部分归入基金财产；上述涉及金额的计算结果均按四舍五入方法，保留到小数点后</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位，由此产生的收益或损失由基金财产承担。</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、赎回金额的处理方式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赎回金额为按实际确认的有效赎回份额以当日基金份额净值为基准并扣除相应的费用，计算结果保留到小数点后</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位，小数点后</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位以后的部分四舍五入，由此产生的误差计入基金财产。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八、申购和赎回的登记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投资人申购基金成功后，基金登记机构在</w:t>
      </w:r>
      <w:r w:rsidRPr="00417752">
        <w:rPr>
          <w:rFonts w:ascii="Verdana" w:eastAsia="宋体" w:hAnsi="Verdana" w:cs="宋体"/>
          <w:color w:val="4B4B4B"/>
          <w:kern w:val="0"/>
          <w:szCs w:val="21"/>
        </w:rPr>
        <w:t>T+1</w:t>
      </w:r>
      <w:r w:rsidRPr="00417752">
        <w:rPr>
          <w:rFonts w:ascii="Verdana" w:eastAsia="宋体" w:hAnsi="Verdana" w:cs="宋体"/>
          <w:color w:val="4B4B4B"/>
          <w:kern w:val="0"/>
          <w:szCs w:val="21"/>
        </w:rPr>
        <w:t>日为投资人登记权益并办理登记手续，投资人自</w:t>
      </w:r>
      <w:r w:rsidRPr="00417752">
        <w:rPr>
          <w:rFonts w:ascii="Verdana" w:eastAsia="宋体" w:hAnsi="Verdana" w:cs="宋体"/>
          <w:color w:val="4B4B4B"/>
          <w:kern w:val="0"/>
          <w:szCs w:val="21"/>
        </w:rPr>
        <w:t>T+2</w:t>
      </w:r>
      <w:r w:rsidRPr="00417752">
        <w:rPr>
          <w:rFonts w:ascii="Verdana" w:eastAsia="宋体" w:hAnsi="Verdana" w:cs="宋体"/>
          <w:color w:val="4B4B4B"/>
          <w:kern w:val="0"/>
          <w:szCs w:val="21"/>
        </w:rPr>
        <w:t>日（含该日）后有权赎回该部分基金份额。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投资人赎回基金成功后，基金登记机构在</w:t>
      </w:r>
      <w:r w:rsidRPr="00417752">
        <w:rPr>
          <w:rFonts w:ascii="Verdana" w:eastAsia="宋体" w:hAnsi="Verdana" w:cs="宋体"/>
          <w:color w:val="4B4B4B"/>
          <w:kern w:val="0"/>
          <w:szCs w:val="21"/>
        </w:rPr>
        <w:t>T+1</w:t>
      </w:r>
      <w:r w:rsidRPr="00417752">
        <w:rPr>
          <w:rFonts w:ascii="Verdana" w:eastAsia="宋体" w:hAnsi="Verdana" w:cs="宋体"/>
          <w:color w:val="4B4B4B"/>
          <w:kern w:val="0"/>
          <w:szCs w:val="21"/>
        </w:rPr>
        <w:t>日为投资人办理扣除权益的登记手续。</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基金管理人可以在法律法规允许的范围内，对上述登记办理时间进行调整，但不得实质影响投资人的合法权益，并最迟于实施前依照《信息披露办法》的有关规定在指定媒介公告。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九、拒绝或暂停申购的情形及处理方式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发生下列情况时，基金管理人可拒绝或暂停接受投资人的申购申请：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、因不可抗力导致基金无法正常运作。</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、发生基金合同规定的暂停基金资产估值情况时，基金管理人可暂停接受投资人的申购申请。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、证券交易所交易时间非正常停市，导致基金管理人无法计算当日基金资产净值或者无法办理申购业务。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bookmarkStart w:id="72" w:name="_Hlt70481650"/>
      <w:bookmarkEnd w:id="72"/>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、因基金收益分配、基金投资组合内某个或某些证券即将上市等原因，使基金管理人短期内继续接受申购可能会影响或损害现有基金份额持有人利益的。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、基金资产规模过大，使基金管理人无法找到合适的投资品种，或其他可能对基金业绩产生负面影响，从而损害现有基金份额持有人利益的情形。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、基金管理人、基金托管人、基金销售机构或登记结算机构因技术故障或异常情况导致基金销售系统、基金登记系统、基金会计系统或证券登记结算系统无法正常运行。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、基金管理人接受某笔或某些申购申请可能会影响或损害现有基金份额持有人利益时。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、法律法规规定或中国证监会认定的其他情形。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发生上述第</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十、暂停赎回或延缓支付赎回款项的情形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发生下列情形时，基金管理人可暂停接受投资人的赎回申请或延缓支付赎回款项：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、因不可抗力导致基金管理人不能支付赎回款项。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、发生基金合同规定的暂停基金资产估值情况时，基金管理人可暂停接受投资人的赎回申请或延缓支付赎回款项。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、证券交易所交易时间非正常停市，导致基金管理人无法计算当日基金资产</w:t>
      </w:r>
      <w:bookmarkStart w:id="73" w:name="_Hlt152500890"/>
      <w:r w:rsidRPr="00417752">
        <w:rPr>
          <w:rFonts w:ascii="Verdana" w:eastAsia="宋体" w:hAnsi="Verdana" w:cs="宋体"/>
          <w:color w:val="4B4B4B"/>
          <w:kern w:val="0"/>
          <w:szCs w:val="21"/>
        </w:rPr>
        <w:t>净值或者无法办理赎回业务。</w:t>
      </w:r>
      <w:bookmarkEnd w:id="73"/>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、连续两个或两个以上开放日发生巨额赎回。</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、基金管理人认为继续接受赎回申请将损害现有基金份额持有人利益的情形时，可暂停接受投资人的赎回申请。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、法律法规规定或中国证监会认定的其他情形。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发生上述情形之一时而基金管理人决定暂停接受基金份额持有人的赎回申请或者延缓支付赎回款项，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十一、巨额赎回的情形及处理方式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、巨额赎回的认定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若本基金单个开放日内的基金份额净赎回申请</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赎回申请份额总数加上基金转换中转出申请份额总数后扣除申购申请份额总数及基金转换中转入申请份额总数后的余额</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超过前一开放日的基金总份额的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，即认为是发生了巨额赎回。</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、巨额赎回的处理方式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当基金出现巨额赎回时，基金管理人可以根据基金当时的资产组合状况决定全额赎回或部分延期赎回。</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）全额赎回：当基金管理人认为有能力支付投资人的全部赎回申请时，按正常赎回程序执行。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）暂停赎回：连续</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个开放日以上</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含本数</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发生巨额赎回，如基金管理人认为有必要，可暂停接受基金的赎回申请；已经接受的赎回申请可以延缓支付赎回款项，但不得超过</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个工作日，并应当在指定媒介上进行公告。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、巨额赎回的公告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当发生上述延期赎回并延期办理时，基金管理人应当通过邮寄、传真或者招募说明书规定的其他方式（包括但不限于短信、电子邮件或由基金销售机构通知等方式）在</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个交易日内通知基金份额持有人，说明有关处理方法，同时在指定媒介上刊登公告。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十二、暂停申购或赎回的公告和重新开放申购或赎回的公告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、发生上述暂停申购或赎回情况的，基金管理人应及时向中国证监会备案，并在规定期限内在指定媒介上刊登暂停公告。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十三、基金转换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十四、基金的非交易过户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b/>
          <w:bCs/>
          <w:color w:val="4B4B4B"/>
          <w:kern w:val="0"/>
          <w:szCs w:val="21"/>
        </w:rPr>
        <w:t>十五、基金的转托管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基金份额持有人可办理已持有基金份额在不同销售机构之间的转托管，基金销售机构可以按照规定的标准收取转托管费。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十六、定投计划</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十七、基金的冻结和解冻</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十八、基金份额的转让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十九、其他业务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在相关法律法规允许的条件下，基金登记机构可依据其业务规则，受理基金份额质押等业务，并收取一定的手续费用。</w:t>
      </w: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74" w:name="_Toc360793853"/>
      <w:bookmarkStart w:id="75" w:name="_Toc360794103"/>
      <w:bookmarkStart w:id="76" w:name="_Toc360794411"/>
      <w:bookmarkStart w:id="77" w:name="_Toc360794519"/>
      <w:bookmarkStart w:id="78" w:name="_Toc362455186"/>
      <w:bookmarkStart w:id="79" w:name="_Toc362533458"/>
      <w:bookmarkStart w:id="80" w:name="_Toc416453848"/>
      <w:bookmarkStart w:id="81" w:name="_Toc360793501"/>
      <w:bookmarkEnd w:id="74"/>
      <w:bookmarkEnd w:id="75"/>
      <w:bookmarkEnd w:id="76"/>
      <w:bookmarkEnd w:id="77"/>
      <w:bookmarkEnd w:id="78"/>
      <w:bookmarkEnd w:id="79"/>
      <w:bookmarkEnd w:id="80"/>
      <w:r w:rsidRPr="00417752">
        <w:rPr>
          <w:rFonts w:ascii="Verdana" w:eastAsia="宋体" w:hAnsi="Verdana" w:cs="宋体"/>
          <w:b/>
          <w:bCs/>
          <w:color w:val="4B4B4B"/>
          <w:kern w:val="0"/>
          <w:szCs w:val="21"/>
        </w:rPr>
        <w:t>九、</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基金的投资</w:t>
      </w:r>
      <w:bookmarkEnd w:id="81"/>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一、投资目标</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本基金利用定量投资模型，在有效控制风险的前提下，力争实现基金资产的长期稳健增值。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二、投资范围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本基金股票投资占基金资产的比例范围为</w:t>
      </w:r>
      <w:r w:rsidRPr="00417752">
        <w:rPr>
          <w:rFonts w:ascii="Verdana" w:eastAsia="宋体" w:hAnsi="Verdana" w:cs="宋体"/>
          <w:color w:val="4B4B4B"/>
          <w:kern w:val="0"/>
          <w:szCs w:val="21"/>
        </w:rPr>
        <w:t>80-95%</w:t>
      </w:r>
      <w:r w:rsidRPr="00417752">
        <w:rPr>
          <w:rFonts w:ascii="Verdana" w:eastAsia="宋体" w:hAnsi="Verdana" w:cs="宋体"/>
          <w:color w:val="4B4B4B"/>
          <w:kern w:val="0"/>
          <w:szCs w:val="21"/>
        </w:rPr>
        <w:t>。本基金每个交易日日终在扣除股指期货合约需缴纳的交易保证金后，应当保持不低于基金资产净值</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的现金或者到期日在一年以内的政府债券。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如法律法规或监管机构以后允许基金投资其他品种，基金管理人在履行适当程序后，可以将其纳入投资范围。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三、投资策略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、资产配置策略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通过定量与定性相结合的方法分析宏观经济和证券市场发展趋势，评估市场的系统性风险和各类资产的预期收益与风险，据此合理制定和调整股票、债券等各类资产的比例，在保持总体风险水平相对稳定的基础上，力争投资组合的稳定增值。此外，本基金将持续地进行定期与不定期的资产配置风险监控，适时地做出相应的调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、股票投资策略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本基金主要通过定量投资模型，选取并持有预期收益较好的股票构成投资组合，在有效控制风险的前提下，力争实现基金资产的长期稳健增值。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本基金运用的量化投资模型主要包括：</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）多因子模型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本基金依据大数据因子和南方量化平台开发的大数据多因子选股模型，目前包括了成长多因子股票模型、事件多因子股票模型，在模型融合层面对多个模型进行权重优化。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成长多因子模型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成长多因子模型重点考察企业的盈利能力、杠杆水平、企业的净利润增长率，营业收入增长率，近几年的复合净利润增长率等一系列成长性指标，附加了市场关注度、以及以市场</w:t>
      </w:r>
      <w:r w:rsidRPr="00417752">
        <w:rPr>
          <w:rFonts w:ascii="Verdana" w:eastAsia="宋体" w:hAnsi="Verdana" w:cs="宋体"/>
          <w:color w:val="4B4B4B"/>
          <w:kern w:val="0"/>
          <w:szCs w:val="21"/>
        </w:rPr>
        <w:lastRenderedPageBreak/>
        <w:t>关注度为基础的衍生因子等大数据因子指标，模型详细分析各个因子的股票筛选能力和因子间的相关性；同时基于南方自有构建的一致预期、上市公司事件投资数据库，优化股票的一致预期的净利润、净利润变化、公司预告等事件因素打分，将事件因子与成长股票多因子模型有机整合，形成综合的成长股票模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事件多因子模型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事件多因子模型是以分析上市公司与经营业绩相关的重大新闻报告事件为出发点，结合上市公司基本面的信息，也包含股票价格的信息，如市盈率、市净率、市现率、市销率、</w:t>
      </w:r>
      <w:r w:rsidRPr="00417752">
        <w:rPr>
          <w:rFonts w:ascii="Verdana" w:eastAsia="宋体" w:hAnsi="Verdana" w:cs="宋体"/>
          <w:color w:val="4B4B4B"/>
          <w:kern w:val="0"/>
          <w:szCs w:val="21"/>
        </w:rPr>
        <w:t>EV/EBITDA</w:t>
      </w:r>
      <w:r w:rsidRPr="00417752">
        <w:rPr>
          <w:rFonts w:ascii="Verdana" w:eastAsia="宋体" w:hAnsi="Verdana" w:cs="宋体"/>
          <w:color w:val="4B4B4B"/>
          <w:kern w:val="0"/>
          <w:szCs w:val="21"/>
        </w:rPr>
        <w:t>等，分析公司估计对于事件预期的反应程度和反应时间，挖掘出对于正面事件反应不足、负面事件反应过度的股票。从价值回归的角度获取相对市场的超额收益。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）行业轮动模型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行业轮动模型以行业间和行业内的单因子分析为基础。基于南方大数据因子库、财务因子库、市场行情因子库三大因子库，分析各个因子的行业筛选能力，提取出有效的行业筛选因子；分析行业内的各个因子表现情况，滚动优化股票的行业内得分；综合模型下，大数据因子可以有效捕获市场关注的热点主题与行业，行业内的有效因子以获取行业内股票的超额收益为目标；根据全行业全股票的汇总得分中，可以自动形成行业的超配、低配情形，获取行业轮动的收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、固定收益资产投资策略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本基金固定收益资产投资的目的是在保证基金资产流动性的基础上，有效利用基金资产，提高基金资产的投资收益。</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固定收益资产包括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等。</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管理人将基于对国内外宏观经济形势的深入分析、国内财政政策与货币市场政策等因素对固定收益资产的影响，进行合理的利率预期，判断市场的基本走势，制定久期控制下的资产类属配置策略。在固定收益资产投资组合构建和管理过程中，本基金管理人将具体采用期限结构配置、市场转换、信用利差和相对价值判断、信用风险评估、现金管理等管理手段进行个券选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、权证投资策略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基金管理人将充分考虑权证资产的收益性、流动性及风险性特征，通过资产配置、品种与类属选择，谨慎进行投资，追求较稳定的当期收益。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、股指期货等投资策略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四、投资限制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、组合限制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基金的投资组合应遵循以下限制：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）本基金股票投资占基金资产的比例范围为</w:t>
      </w:r>
      <w:r w:rsidRPr="00417752">
        <w:rPr>
          <w:rFonts w:ascii="Verdana" w:eastAsia="宋体" w:hAnsi="Verdana" w:cs="宋体"/>
          <w:color w:val="4B4B4B"/>
          <w:kern w:val="0"/>
          <w:szCs w:val="21"/>
        </w:rPr>
        <w:t>80-95%</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）本基金每个交易日日终在扣除股指期货合约需缴纳的交易保证金后，应当保持不低于基金资产净值</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％的现金或者到期日在一年以内的政府债券；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）本基金持有一家公司发行的证券，其市值不超过基金资产净值的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）本基金管理人管理的全部基金持有一家公司发行的证券，不超过该证券的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）本基金持有的全部权证，其市值不得超过基金资产净值的</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）本基金管理人管理的全部基金持有的同一权证，不得超过该权证的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）本基金在任何交易日买入权证的总金额，不得超过上一交易日基金资产净值的</w:t>
      </w:r>
      <w:r w:rsidRPr="00417752">
        <w:rPr>
          <w:rFonts w:ascii="Verdana" w:eastAsia="宋体" w:hAnsi="Verdana" w:cs="宋体"/>
          <w:color w:val="4B4B4B"/>
          <w:kern w:val="0"/>
          <w:szCs w:val="21"/>
        </w:rPr>
        <w:t>0.5</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）本基金投资于同一原始权益人的各类资产支持证券的比例，不得超过基金资产净值的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）本基金持有的全部资产支持证券，其市值不得超过基金资产净值的</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）本基金持有的同一</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指同一信用级别</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资产支持证券的比例，不得超过该资产支持证券规模的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11</w:t>
      </w:r>
      <w:r w:rsidRPr="00417752">
        <w:rPr>
          <w:rFonts w:ascii="Verdana" w:eastAsia="宋体" w:hAnsi="Verdana" w:cs="宋体"/>
          <w:color w:val="4B4B4B"/>
          <w:kern w:val="0"/>
          <w:szCs w:val="21"/>
        </w:rPr>
        <w:t>）本基金管理人管理的全部基金投资于同一原始权益人的各类资产支持证券，不得超过其各类资产支持证券合计规模的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）本基金应投资于信用级别评级为</w:t>
      </w:r>
      <w:r w:rsidRPr="00417752">
        <w:rPr>
          <w:rFonts w:ascii="Verdana" w:eastAsia="宋体" w:hAnsi="Verdana" w:cs="宋体"/>
          <w:color w:val="4B4B4B"/>
          <w:kern w:val="0"/>
          <w:szCs w:val="21"/>
        </w:rPr>
        <w:t>BBB</w:t>
      </w:r>
      <w:r w:rsidRPr="00417752">
        <w:rPr>
          <w:rFonts w:ascii="Verdana" w:eastAsia="宋体" w:hAnsi="Verdana" w:cs="宋体"/>
          <w:color w:val="4B4B4B"/>
          <w:kern w:val="0"/>
          <w:szCs w:val="21"/>
        </w:rPr>
        <w:t>以上</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含</w:t>
      </w:r>
      <w:r w:rsidRPr="00417752">
        <w:rPr>
          <w:rFonts w:ascii="Verdana" w:eastAsia="宋体" w:hAnsi="Verdana" w:cs="宋体"/>
          <w:color w:val="4B4B4B"/>
          <w:kern w:val="0"/>
          <w:szCs w:val="21"/>
        </w:rPr>
        <w:t>BBB)</w:t>
      </w:r>
      <w:r w:rsidRPr="00417752">
        <w:rPr>
          <w:rFonts w:ascii="Verdana" w:eastAsia="宋体" w:hAnsi="Verdana" w:cs="宋体"/>
          <w:color w:val="4B4B4B"/>
          <w:kern w:val="0"/>
          <w:szCs w:val="21"/>
        </w:rPr>
        <w:t>的资产支持证券。基金持有资产支持证券期间，如果其信用等级下降、不再符合投资标准，应在评级报告发布之日起</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个月内予以全部卖出；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13</w:t>
      </w:r>
      <w:r w:rsidRPr="00417752">
        <w:rPr>
          <w:rFonts w:ascii="Verdana" w:eastAsia="宋体" w:hAnsi="Verdana" w:cs="宋体"/>
          <w:color w:val="4B4B4B"/>
          <w:kern w:val="0"/>
          <w:szCs w:val="21"/>
        </w:rPr>
        <w:t>）基金财产参与股票发行申购，本基金所申报的金额不超过本基金的总资产，本基金所申报的股票数量不超过拟发行股票公司本次发行股票的总量；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14</w:t>
      </w:r>
      <w:r w:rsidRPr="00417752">
        <w:rPr>
          <w:rFonts w:ascii="Verdana" w:eastAsia="宋体" w:hAnsi="Verdana" w:cs="宋体"/>
          <w:color w:val="4B4B4B"/>
          <w:kern w:val="0"/>
          <w:szCs w:val="21"/>
        </w:rPr>
        <w:t>）本基金进入全国银行间同业市场进行债券回购的资金余额不得超过基金资产净值的</w:t>
      </w:r>
      <w:r w:rsidRPr="00417752">
        <w:rPr>
          <w:rFonts w:ascii="Verdana" w:eastAsia="宋体" w:hAnsi="Verdana" w:cs="宋体"/>
          <w:color w:val="4B4B4B"/>
          <w:kern w:val="0"/>
          <w:szCs w:val="21"/>
        </w:rPr>
        <w:t>40%</w:t>
      </w:r>
      <w:r w:rsidRPr="00417752">
        <w:rPr>
          <w:rFonts w:ascii="Verdana" w:eastAsia="宋体" w:hAnsi="Verdana" w:cs="宋体"/>
          <w:color w:val="4B4B4B"/>
          <w:kern w:val="0"/>
          <w:szCs w:val="21"/>
        </w:rPr>
        <w:t>，在全国银行间同业市场中的债券回购最长期限为</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年，债券回购到期后不得展期；</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）在任何交易日日终，持有的买入股指期货合约价值，不得超过基金资产净值的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；在任何交易日日终，持有的买入期货合约价值与有价证券市值之和</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不得超过基金资产净值的</w:t>
      </w:r>
      <w:r w:rsidRPr="00417752">
        <w:rPr>
          <w:rFonts w:ascii="Verdana" w:eastAsia="宋体" w:hAnsi="Verdana" w:cs="宋体"/>
          <w:color w:val="4B4B4B"/>
          <w:kern w:val="0"/>
          <w:szCs w:val="21"/>
        </w:rPr>
        <w:t>95%</w:t>
      </w:r>
      <w:r w:rsidRPr="00417752">
        <w:rPr>
          <w:rFonts w:ascii="Verdana" w:eastAsia="宋体" w:hAnsi="Verdana" w:cs="宋体"/>
          <w:color w:val="4B4B4B"/>
          <w:kern w:val="0"/>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；在任何交易日内交易（不包括平仓）的股指期货合约的成交金额不得超过上一交易日基金资产净值的</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；所持有的股票市值和买入、卖出股指期货合约价值，合计（轧差计算）应当符合基金合同关于股票投资比例的有关约定；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16</w:t>
      </w:r>
      <w:r w:rsidRPr="00417752">
        <w:rPr>
          <w:rFonts w:ascii="Verdana" w:eastAsia="宋体" w:hAnsi="Verdana" w:cs="宋体"/>
          <w:color w:val="4B4B4B"/>
          <w:kern w:val="0"/>
          <w:szCs w:val="21"/>
        </w:rPr>
        <w:t>）本基金持有的单只中小企业私募债券，其市值不得超过基金资产净值的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17</w:t>
      </w:r>
      <w:r w:rsidRPr="00417752">
        <w:rPr>
          <w:rFonts w:ascii="Verdana" w:eastAsia="宋体" w:hAnsi="Verdana" w:cs="宋体"/>
          <w:color w:val="4B4B4B"/>
          <w:kern w:val="0"/>
          <w:szCs w:val="21"/>
        </w:rPr>
        <w:t>）本基金总资产不得超过基金净资产的</w:t>
      </w:r>
      <w:r w:rsidRPr="00417752">
        <w:rPr>
          <w:rFonts w:ascii="Verdana" w:eastAsia="宋体" w:hAnsi="Verdana" w:cs="宋体"/>
          <w:color w:val="4B4B4B"/>
          <w:kern w:val="0"/>
          <w:szCs w:val="21"/>
        </w:rPr>
        <w:t>140%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18</w:t>
      </w:r>
      <w:r w:rsidRPr="00417752">
        <w:rPr>
          <w:rFonts w:ascii="Verdana" w:eastAsia="宋体" w:hAnsi="Verdana" w:cs="宋体"/>
          <w:color w:val="4B4B4B"/>
          <w:kern w:val="0"/>
          <w:szCs w:val="21"/>
        </w:rPr>
        <w:t>）法律法规及中国证监会规定的和《基金合同》约定的其他投资限制。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除上述第（</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）项另有约定外，因证券或期货市场波动、上市公司合并、基金规模变动等基金管理人之外的因素致使基金投资比例不符合上述规定投资比例的，基金管理人应当在</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个交易日内进行调整，但中国证监会规定的特殊情形除外。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基金管理人应当自基金合同生效之日起</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法律法规或监管部门取消或调整上述投资组合比例限制，如适用于本基金，基金管理人在履行适当程序后，则本基金投资不再受相关限制，届时无需召开基金份额持有人大会。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、禁止行为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为维护基金份额持有人的合法权益，基金财产不得用于下列投资或者活动：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）承销证券；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）违反规定向他人贷款或者提供担保；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）从事承担无限责任的投资；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）买卖其他基金份额，但是法律法规或中国证监会另有规定的除外；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）向其基金管理人、基金托管人出资；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）从事内幕交易、操纵证券交易价格及其他不正当的证券交易活动；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）法律、行政法规和中国证监会规定禁止的其他活动。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如法律法规或监管部门取消上述限制，如适用于本基金，则本基金投资不再受相关限制。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五、业绩比较基准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本基金的业绩比较基准为：</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中证</w:t>
      </w:r>
      <w:r w:rsidRPr="00417752">
        <w:rPr>
          <w:rFonts w:ascii="Verdana" w:eastAsia="宋体" w:hAnsi="Verdana" w:cs="宋体"/>
          <w:color w:val="4B4B4B"/>
          <w:kern w:val="0"/>
          <w:szCs w:val="21"/>
        </w:rPr>
        <w:t>500</w:t>
      </w:r>
      <w:r w:rsidRPr="00417752">
        <w:rPr>
          <w:rFonts w:ascii="Verdana" w:eastAsia="宋体" w:hAnsi="Verdana" w:cs="宋体"/>
          <w:color w:val="4B4B4B"/>
          <w:kern w:val="0"/>
          <w:szCs w:val="21"/>
        </w:rPr>
        <w:t>指数收益率</w:t>
      </w:r>
      <w:r w:rsidRPr="00417752">
        <w:rPr>
          <w:rFonts w:ascii="Verdana" w:eastAsia="宋体" w:hAnsi="Verdana" w:cs="宋体"/>
          <w:color w:val="4B4B4B"/>
          <w:kern w:val="0"/>
          <w:szCs w:val="21"/>
        </w:rPr>
        <w:t>×90%+</w:t>
      </w:r>
      <w:r w:rsidRPr="00417752">
        <w:rPr>
          <w:rFonts w:ascii="Verdana" w:eastAsia="宋体" w:hAnsi="Verdana" w:cs="宋体"/>
          <w:color w:val="4B4B4B"/>
          <w:kern w:val="0"/>
          <w:szCs w:val="21"/>
        </w:rPr>
        <w:t>上证国债指数收益率</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如果今后法律法规发生变化，或者有更权威的、更能为市场普遍接受的业绩比较基准推出，或者是市场上出现更加适合用于本基金的业绩比较基准的指数时，本基金管理人可以依据维护基金份额持有人合法权益的原则，与基金托管人协商一致并按监管部门要求履行适当程序后变更业绩比较基准并及时公告，无需召集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六、风险收益特征</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本基金为股票型基金，属于较高预期风险和预期收益的证券投资基金品种，其预期风险和预期收益水平高于混合型基金、债券型基金及货币市场基金。</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七、基金管理人代表基金行使权利的处理原则及方法</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、不谋求对上市公司的控股，不参与所投资上市公司的经营管理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、有利于基金资产的安全与增值；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、基金管理人按照国家有关规定代表基金独立行使股东、债权人权利，保护基金份额持有人的利益。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82" w:name="_Toc360793854"/>
      <w:bookmarkStart w:id="83" w:name="_Toc360794104"/>
      <w:bookmarkStart w:id="84" w:name="_Toc360794412"/>
      <w:bookmarkStart w:id="85" w:name="_Toc360794520"/>
      <w:bookmarkStart w:id="86" w:name="_Toc362455187"/>
      <w:bookmarkStart w:id="87" w:name="_Toc362533459"/>
      <w:bookmarkStart w:id="88" w:name="_Toc416453849"/>
      <w:bookmarkStart w:id="89" w:name="_Toc360793502"/>
      <w:bookmarkEnd w:id="82"/>
      <w:bookmarkEnd w:id="83"/>
      <w:bookmarkEnd w:id="84"/>
      <w:bookmarkEnd w:id="85"/>
      <w:bookmarkEnd w:id="86"/>
      <w:bookmarkEnd w:id="87"/>
      <w:bookmarkEnd w:id="88"/>
      <w:r w:rsidRPr="00417752">
        <w:rPr>
          <w:rFonts w:ascii="Verdana" w:eastAsia="宋体" w:hAnsi="Verdana" w:cs="宋体"/>
          <w:b/>
          <w:bCs/>
          <w:color w:val="4B4B4B"/>
          <w:kern w:val="0"/>
          <w:szCs w:val="21"/>
        </w:rPr>
        <w:t>十、</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基金的财产</w:t>
      </w:r>
      <w:bookmarkEnd w:id="89"/>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一、基金资产总值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基金资产总值是指购买的各类证券及票据价值、银行存款本息和基金应收的申购基金款以及其他投资所形成的价值总和。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二、基金资产净值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基金资产净值是指基金资产总值减去基金负债后的价值。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三、基金财产的账户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90" w:name="_Hlt88841837"/>
      <w:bookmarkEnd w:id="90"/>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四、基金财产的保管和处分</w:t>
      </w:r>
      <w:bookmarkStart w:id="91" w:name="_Hlt88900062"/>
      <w:bookmarkEnd w:id="91"/>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92" w:name="_Toc360793855"/>
      <w:bookmarkStart w:id="93" w:name="_Toc360794105"/>
      <w:bookmarkStart w:id="94" w:name="_Toc360794413"/>
      <w:bookmarkStart w:id="95" w:name="_Toc360794521"/>
      <w:bookmarkStart w:id="96" w:name="_Toc362455188"/>
      <w:bookmarkStart w:id="97" w:name="_Toc362533460"/>
      <w:bookmarkStart w:id="98" w:name="_Toc416453850"/>
      <w:bookmarkStart w:id="99" w:name="_Toc360793503"/>
      <w:bookmarkEnd w:id="92"/>
      <w:bookmarkEnd w:id="93"/>
      <w:bookmarkEnd w:id="94"/>
      <w:bookmarkEnd w:id="95"/>
      <w:bookmarkEnd w:id="96"/>
      <w:bookmarkEnd w:id="97"/>
      <w:bookmarkEnd w:id="98"/>
      <w:r w:rsidRPr="00417752">
        <w:rPr>
          <w:rFonts w:ascii="Verdana" w:eastAsia="宋体" w:hAnsi="Verdana" w:cs="宋体"/>
          <w:b/>
          <w:bCs/>
          <w:color w:val="4B4B4B"/>
          <w:kern w:val="0"/>
          <w:szCs w:val="21"/>
        </w:rPr>
        <w:t>十一、</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基金资产估值</w:t>
      </w:r>
      <w:bookmarkEnd w:id="99"/>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一、估值日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本基金的估值日为本基金相关的证券交易场所的交易日以及国家法律法规规定需要对外披露基金净值的非交易日。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二、估值对象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基金所拥有的股票、债券、衍生工具和其它投资等持续以公允价值计量的金融资产及负债。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三、估值方法</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、证券交易所上市的有价证券的估值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w:t>
      </w:r>
      <w:r w:rsidRPr="00417752">
        <w:rPr>
          <w:rFonts w:ascii="Verdana" w:eastAsia="宋体" w:hAnsi="Verdana" w:cs="宋体"/>
          <w:color w:val="4B4B4B"/>
          <w:kern w:val="0"/>
          <w:szCs w:val="21"/>
        </w:rPr>
        <w:lastRenderedPageBreak/>
        <w:t>易日后经济环境发生了重大变化或证券发行机构发生影响证券价格的重大事件的，可参考类似投资品种的现行市价及重大变化因素，调整最近交易市价，确定公允价格；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）交易所市场上市交易或挂牌转让的固定收益品种（本合同另有约定的除外），采用估值技术确定公允价值；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交易所上市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）交易所上市的资产支持证券，采用估值技术确定公允价值，在估值技术难以可靠计量公允价值的情况下，按成本估值。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、处于未上市期间的有价证券应区分如下情况处理：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）送股、转增股、配股和公开增发的股票，按估值日在证券交易所挂牌的同一股票的估值方法估值；该日无交易的，以最近一日的市价（收盘价）估值；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）首次公开发行未上市或未挂牌转让的股票、债券和权证，采用估值技术确定公允价值，在估值技术难以可靠计量公允价值的情况下，按成本估值；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）首次公开发行有明确锁定期的股票，同一股票在交易所上市后，按交易所上市的同一股票的估值方法估值；非公开发行有明确锁定期的股票，按监管机构或行业协会有关规定确定公允价值。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、全国银行间债券市场交易的债券、资产支持证券等固定收益品种，采用估值技术确定公允价值。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、同一证券同时在两个或两个以上市场交易的，按证券所处的市场分别估值。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、本基金投资股指期货合约，按估值当日结算价进行估值，估值当日无结算价的，且最近交易日后经济环境未发生重大变化的，采用最近交易日结算价估值。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、中小企业私募债，采用估值技术确定公允价值，在估值技术难以可靠计量公允价值的情况下，按成本估值。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、如有确凿证据表明按上述方法进行估值不能客观反映其公允价值的，基金管理人可根据具体情况与基金托管人商定后，按最能反映公允价值的价格估值。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、相关法律法规以及监管部门、自律规则另有规定的，从其规定。如有新增事项，按国家最新规定估值。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如基金管理人或基金托管人发现基金估值违反基金合同订明的估值方法、程序及相关法律法规的规定或者未能充分维护基金份额持有人利益时，应立即通知对方，共同查明原因，双方协商解决。</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四、估值程序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、基金份额净值是按照每个工作日闭市后，基金资产净值除以当日基金份额的余额数量计算，精确到</w:t>
      </w:r>
      <w:r w:rsidRPr="00417752">
        <w:rPr>
          <w:rFonts w:ascii="Verdana" w:eastAsia="宋体" w:hAnsi="Verdana" w:cs="宋体"/>
          <w:color w:val="4B4B4B"/>
          <w:kern w:val="0"/>
          <w:szCs w:val="21"/>
        </w:rPr>
        <w:t>0.001</w:t>
      </w:r>
      <w:r w:rsidRPr="00417752">
        <w:rPr>
          <w:rFonts w:ascii="Verdana" w:eastAsia="宋体" w:hAnsi="Verdana" w:cs="宋体"/>
          <w:color w:val="4B4B4B"/>
          <w:kern w:val="0"/>
          <w:szCs w:val="21"/>
        </w:rPr>
        <w:t>元，小数点后第</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位四舍五入。国家另有规定的，从其规定。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每个工作日计算基金资产净值及基金份额净值，并按规定公告。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五、估值错误的处理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基金管理人和基金托管人将采取必要、适当、合理的措施确保基金资产估值的准确性、及时性。当基金份额净值小数点后</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位以内</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含第</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位</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发生估值错误时，视为基金份额净值错误。</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本基金合同的当事人应按照以下约定处理：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、估值错误类型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本基金运作过程中，如果由于基金管理人或基金托管人、或登记机构、或销售机构、或投资人自身的过错造成估值错误，导致其他当事人遭受损失的，过错的责任人应当对由于该估值错误遭受损失当事人</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受损方</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的直接损失按下述</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估值错误处理原则</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给予赔偿，承担赔偿责任。</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、估值错误处理原则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）估值错误的责任方对有关当事人的直接损失负责，不对间接损失负责，并且仅对估值错误的有关直接当事人负责，不对第三方负责。</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受损方</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）估值错误调整采用尽量恢复至假设未发生估值错误的正确情形的方式。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、估值错误处理程序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估值错误被发现后，有关的当事人应当及时进行处理，处理的程序如下：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）查明估值错误发生的原因，列明所有的当事人，并根据估值错误发生的原因确定估值错误的责任方；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）根据估值错误处理原则或当事人协商的方法对因估值错误造成的损失进行评估；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）根据估值错误处理原则或当事人协商的方法由估值错误的责任方进行更正和赔偿损失；</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）根据估值错误处理的方法，需要修改基金登记机构交易数据的，由基金登记机构进行更正，并就估值错误的更正向有关当事人进行确认。</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、基金份额净值估值错误处理的方法如下：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）基金份额净值计算出现错误时，基金管理人应当立即予以纠正，通报基金托管人，并采取合理的措施防止损失进一步扩大。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）错误偏差达到基金份额净值的</w:t>
      </w:r>
      <w:r w:rsidRPr="00417752">
        <w:rPr>
          <w:rFonts w:ascii="Verdana" w:eastAsia="宋体" w:hAnsi="Verdana" w:cs="宋体"/>
          <w:color w:val="4B4B4B"/>
          <w:kern w:val="0"/>
          <w:szCs w:val="21"/>
        </w:rPr>
        <w:t>0.25%</w:t>
      </w:r>
      <w:r w:rsidRPr="00417752">
        <w:rPr>
          <w:rFonts w:ascii="Verdana" w:eastAsia="宋体" w:hAnsi="Verdana" w:cs="宋体"/>
          <w:color w:val="4B4B4B"/>
          <w:kern w:val="0"/>
          <w:szCs w:val="21"/>
        </w:rPr>
        <w:t>时，基金管理人应当通报基金托管人并报中国证监会备案；错误偏差达到基金份额净值的</w:t>
      </w:r>
      <w:r w:rsidRPr="00417752">
        <w:rPr>
          <w:rFonts w:ascii="Verdana" w:eastAsia="宋体" w:hAnsi="Verdana" w:cs="宋体"/>
          <w:color w:val="4B4B4B"/>
          <w:kern w:val="0"/>
          <w:szCs w:val="21"/>
        </w:rPr>
        <w:t>0.5%</w:t>
      </w:r>
      <w:r w:rsidRPr="00417752">
        <w:rPr>
          <w:rFonts w:ascii="Verdana" w:eastAsia="宋体" w:hAnsi="Verdana" w:cs="宋体"/>
          <w:color w:val="4B4B4B"/>
          <w:kern w:val="0"/>
          <w:szCs w:val="21"/>
        </w:rPr>
        <w:t>时，基金管理人应当公告。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）前述内容如法律法规或监管机关另有规定的，从其规定处理。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六、暂停估值的情形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、基金投资所涉及的证券、期货交易市场遇法定节假日或因其他原因暂停营业时；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、因不可抗力致使基金管理人、基金托管人无法准确评估基金资产价值时；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、中国证监会和基金合同认定的其它情形。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七、基金净值的确认</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八、特殊情况的处理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、基金管理人或基金托管人按估值方法的第</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项进行估值时，所造成的误差不作为基金资产估值错误处理。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b/>
          <w:bCs/>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100" w:name="_Toc360793856"/>
      <w:bookmarkStart w:id="101" w:name="_Toc360794106"/>
      <w:bookmarkStart w:id="102" w:name="_Toc360794414"/>
      <w:bookmarkStart w:id="103" w:name="_Toc360794522"/>
      <w:bookmarkStart w:id="104" w:name="_Toc362455189"/>
      <w:bookmarkStart w:id="105" w:name="_Toc362533461"/>
      <w:bookmarkStart w:id="106" w:name="_Toc416453851"/>
      <w:bookmarkStart w:id="107" w:name="_Toc360793504"/>
      <w:bookmarkEnd w:id="100"/>
      <w:bookmarkEnd w:id="101"/>
      <w:bookmarkEnd w:id="102"/>
      <w:bookmarkEnd w:id="103"/>
      <w:bookmarkEnd w:id="104"/>
      <w:bookmarkEnd w:id="105"/>
      <w:bookmarkEnd w:id="106"/>
      <w:r w:rsidRPr="00417752">
        <w:rPr>
          <w:rFonts w:ascii="Verdana" w:eastAsia="宋体" w:hAnsi="Verdana" w:cs="宋体"/>
          <w:b/>
          <w:bCs/>
          <w:color w:val="4B4B4B"/>
          <w:kern w:val="0"/>
          <w:szCs w:val="21"/>
        </w:rPr>
        <w:t>十二、</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基金的收益与分配</w:t>
      </w:r>
      <w:bookmarkEnd w:id="107"/>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一、基金利润的构成</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基金利润指基金利息收入、投资收益、公允价值变动收益和其他收入扣除相关费用后的余额，基金已实现收益指基金利润减去公允价值变动收益后的余额。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二、基金可供分配利润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基金可供分配利润指截至收益分配基准日基金未分配利润与未分配利润中已实现收益的孰低数。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三、基金收益分配原则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、在符合有关基金分红条件的前提下，本基金每年收益分配次数最多为</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次，每份基金份额每次基金收益分配比例不得低于基金收益分配基准日每份基金份额可供分配利润的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，若《基金合同》生效不满</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个月可不进行收益分配；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、本基金收益分配方式分两种：现金分红与红利再投资，投资人可选择现金红利或将现金红利自动转为基金份额进行再投资；若投资人不选择，本基金默认的收益分配方式是现金分红；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、基金收益分配后基金份额净值不能低于面值；即基金收益分配基准日的基金份额净值减去每单位基金份额收益分配金额后不能低于面值；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、每一基金份额享有同等分配权；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、法律法规或监管机关另有规定的，从其规定。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在不违反法律法规、基金合同的约定以及对基金份额持有人利益无实质不利影响的前提下，基金管理人可在按照监管部门要求履行适当程序后对基金收益分配原则进行调整，不需召开基金份额持有人大会。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四、收益分配方案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基金收益分配方案中应载明截止收益分配基准日的可供分配利润、基金收益分配对象、分配时间、分配数额及比例、分配方式等内容。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五、收益分配方案的确定、公告与实施</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本基金收益分配方案由基金管理人拟定，并由基金托管人复核，在</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个工作日内在指定媒介公告并报中国证监会备案。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基金红利发放日距离收益分配基准日（即可供分配利润计算截止日）的时间不得超过</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个工作日。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六、基金收益分配中发生的费用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108" w:name="_Toc360793857"/>
      <w:bookmarkStart w:id="109" w:name="_Toc360794107"/>
      <w:bookmarkStart w:id="110" w:name="_Toc360794415"/>
      <w:bookmarkStart w:id="111" w:name="_Toc360794523"/>
      <w:bookmarkStart w:id="112" w:name="_Toc362455190"/>
      <w:bookmarkStart w:id="113" w:name="_Toc362533462"/>
      <w:bookmarkStart w:id="114" w:name="_Toc416453852"/>
      <w:bookmarkStart w:id="115" w:name="_Toc360793505"/>
      <w:bookmarkEnd w:id="108"/>
      <w:bookmarkEnd w:id="109"/>
      <w:bookmarkEnd w:id="110"/>
      <w:bookmarkEnd w:id="111"/>
      <w:bookmarkEnd w:id="112"/>
      <w:bookmarkEnd w:id="113"/>
      <w:bookmarkEnd w:id="114"/>
      <w:r w:rsidRPr="00417752">
        <w:rPr>
          <w:rFonts w:ascii="Verdana" w:eastAsia="宋体" w:hAnsi="Verdana" w:cs="宋体"/>
          <w:b/>
          <w:bCs/>
          <w:color w:val="4B4B4B"/>
          <w:kern w:val="0"/>
          <w:szCs w:val="21"/>
        </w:rPr>
        <w:t>十三、</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基金的费用与税收</w:t>
      </w:r>
      <w:bookmarkEnd w:id="115"/>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一、基金费用的种类</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、基金管理人的管理费；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、基金托管人的托管费；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、《基金合同》生效后与基金相关的信息披露费用；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、《基金合同》生效后与基金相关的，非因基金管理人、基金托管人过错导致的会计师费、律师费、审计费、诉讼费和仲裁费；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、基金份额持有人大会费用；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、基金的证券、期货交易费用；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、基金的银行汇划费用；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、基金相关账户的开户及维护费用；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、按照国家有关规定和《基金合同》约定，可以在基金财产中列支的其他费用。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二、基金费用计提方法、计提标准和支付方式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、基金管理人的管理费</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本基金的管理费按前一日基金资产净值的</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年费率计提。管理费的计算方法如下：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H</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E×1.5%÷</w:t>
      </w:r>
      <w:r w:rsidRPr="00417752">
        <w:rPr>
          <w:rFonts w:ascii="Verdana" w:eastAsia="宋体" w:hAnsi="Verdana" w:cs="宋体"/>
          <w:color w:val="4B4B4B"/>
          <w:kern w:val="0"/>
          <w:szCs w:val="21"/>
        </w:rPr>
        <w:t>当年天数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H</w:t>
      </w:r>
      <w:r w:rsidRPr="00417752">
        <w:rPr>
          <w:rFonts w:ascii="Verdana" w:eastAsia="宋体" w:hAnsi="Verdana" w:cs="宋体"/>
          <w:color w:val="4B4B4B"/>
          <w:kern w:val="0"/>
          <w:szCs w:val="21"/>
        </w:rPr>
        <w:t>为每日应计提的基金管理费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E</w:t>
      </w:r>
      <w:r w:rsidRPr="00417752">
        <w:rPr>
          <w:rFonts w:ascii="Verdana" w:eastAsia="宋体" w:hAnsi="Verdana" w:cs="宋体"/>
          <w:color w:val="4B4B4B"/>
          <w:kern w:val="0"/>
          <w:szCs w:val="21"/>
        </w:rPr>
        <w:t>为前一日的基金资产净值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基金管理费每日计算，逐日累计至每月月末，按月支付，由基金管理人向基金托管人发送基金管理费划款指令，基金托管人复核后于次月前</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个工作日内从基金财产中一次性支付给基金管理人。若遇法定节假日、公休假等</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支付日期顺延。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、基金托管人的托管费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本基金的托管费按前一日基金资产净值的</w:t>
      </w:r>
      <w:r w:rsidRPr="00417752">
        <w:rPr>
          <w:rFonts w:ascii="Verdana" w:eastAsia="宋体" w:hAnsi="Verdana" w:cs="宋体"/>
          <w:color w:val="4B4B4B"/>
          <w:kern w:val="0"/>
          <w:szCs w:val="21"/>
        </w:rPr>
        <w:t>0.25%</w:t>
      </w:r>
      <w:r w:rsidRPr="00417752">
        <w:rPr>
          <w:rFonts w:ascii="Verdana" w:eastAsia="宋体" w:hAnsi="Verdana" w:cs="宋体"/>
          <w:color w:val="4B4B4B"/>
          <w:kern w:val="0"/>
          <w:szCs w:val="21"/>
        </w:rPr>
        <w:t>的年费率计提。托管费的计算方法如下：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H</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E×0.25%÷</w:t>
      </w:r>
      <w:r w:rsidRPr="00417752">
        <w:rPr>
          <w:rFonts w:ascii="Verdana" w:eastAsia="宋体" w:hAnsi="Verdana" w:cs="宋体"/>
          <w:color w:val="4B4B4B"/>
          <w:kern w:val="0"/>
          <w:szCs w:val="21"/>
        </w:rPr>
        <w:t>当年天数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H</w:t>
      </w:r>
      <w:r w:rsidRPr="00417752">
        <w:rPr>
          <w:rFonts w:ascii="Verdana" w:eastAsia="宋体" w:hAnsi="Verdana" w:cs="宋体"/>
          <w:color w:val="4B4B4B"/>
          <w:kern w:val="0"/>
          <w:szCs w:val="21"/>
        </w:rPr>
        <w:t>为每日应计提的基金托管费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E</w:t>
      </w:r>
      <w:r w:rsidRPr="00417752">
        <w:rPr>
          <w:rFonts w:ascii="Verdana" w:eastAsia="宋体" w:hAnsi="Verdana" w:cs="宋体"/>
          <w:color w:val="4B4B4B"/>
          <w:kern w:val="0"/>
          <w:szCs w:val="21"/>
        </w:rPr>
        <w:t>为前一日的基金资产净值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基金托管费每日计算，逐日累计至每月月末，按月支付，由基金管理人向基金托管人发送基金托管费划款指令，基金托管人复核后于次月前</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个工作日内从基金财产中一次性支取。若遇法定节假日、公休日等</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支付日期顺延。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上述</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一、基金费用的种类中第</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项费用</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，根据有关法规及相应协议规定，按费用实际支出金额列入当期费用，由基金托管人从基金财产中支付。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三、不列入基金费用的项目</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下列费用不列入基金费用：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、基金管理人和基金托管人因未履行或未完全履行义务导致的费用支出或基金财产的损失；</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、基金管理人和基金托管人处理与基金运作无关的事项发生的费用；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、《基金合同》生效前的相关费用；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、其他根据相关法律法规及中国证监会的有关规定不得列入基金费用的项目。</w:t>
      </w:r>
      <w:bookmarkStart w:id="116" w:name="_Hlt88827255"/>
      <w:bookmarkEnd w:id="116"/>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四、费用调整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基金管理人可以根据与基金份额持有人利益一致的原则，结合产品特点和投资人的需求设置基金管理费率的结构和水平。</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基金管理人和基金托管人可根据基金规模等因素协商一致，酌情调低基金管理费率、托管费率，无需召开基金份额持有人大会。提高上述费率需经基金份额持有人大会决议通过。基金管理人必须于新的费率实施日前在指定媒介上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五、基金税收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本基金运作过程中涉及的各纳税主体，其纳税义务按国家税收法律、法规执行。</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117" w:name="_Toc360793858"/>
      <w:bookmarkStart w:id="118" w:name="_Toc360794108"/>
      <w:bookmarkStart w:id="119" w:name="_Toc360794416"/>
      <w:bookmarkStart w:id="120" w:name="_Toc360794524"/>
      <w:bookmarkStart w:id="121" w:name="_Toc362455191"/>
      <w:bookmarkStart w:id="122" w:name="_Toc362533463"/>
      <w:bookmarkStart w:id="123" w:name="_Toc416453853"/>
      <w:bookmarkStart w:id="124" w:name="_Toc360793506"/>
      <w:bookmarkEnd w:id="117"/>
      <w:bookmarkEnd w:id="118"/>
      <w:bookmarkEnd w:id="119"/>
      <w:bookmarkEnd w:id="120"/>
      <w:bookmarkEnd w:id="121"/>
      <w:bookmarkEnd w:id="122"/>
      <w:bookmarkEnd w:id="123"/>
      <w:r w:rsidRPr="00417752">
        <w:rPr>
          <w:rFonts w:ascii="Verdana" w:eastAsia="宋体" w:hAnsi="Verdana" w:cs="宋体"/>
          <w:b/>
          <w:bCs/>
          <w:color w:val="4B4B4B"/>
          <w:kern w:val="0"/>
          <w:szCs w:val="21"/>
        </w:rPr>
        <w:t>十四、</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基金的会计与审计</w:t>
      </w:r>
      <w:bookmarkEnd w:id="124"/>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一、基金会计政策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、基金管理人为本基金的基金会计责任方；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、基金的会计年度为公历年度的</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日至</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31</w:t>
      </w:r>
      <w:r w:rsidRPr="00417752">
        <w:rPr>
          <w:rFonts w:ascii="Verdana" w:eastAsia="宋体" w:hAnsi="Verdana" w:cs="宋体"/>
          <w:color w:val="4B4B4B"/>
          <w:kern w:val="0"/>
          <w:szCs w:val="21"/>
        </w:rPr>
        <w:t>日；基金首次募集的会计年度按如下原则：如果《基金合同》生效少于</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个月，可以并入下一个会计年度；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、基金核算以人民币为记账本位币，以人民币元为记账单位；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、会计制度执行国家有关会计制度；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、本基金独立建账、独立核算；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、基金管理人及基金托管人各自保留完整的会计账目、凭证并进行日常的会计核算，按照有关规定编制基金会计报表；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、基金托管人每月与基金管理人就基金的会计核算、报表编制等进行核对并以书面方式确认。</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二、基金的年度审计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、基金管理人聘请与基金管理人、基金托管人相互独立的具有证券从业资格的会计师事务所及其注册会计师对本基金的年度财务报表进行审计。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、会计师事务所更换经办注册会计师，应事先征得基金管理人同意。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w:t>
      </w:r>
      <w:bookmarkStart w:id="125" w:name="_Hlt4221115"/>
      <w:bookmarkEnd w:id="125"/>
      <w:r w:rsidRPr="00417752">
        <w:rPr>
          <w:rFonts w:ascii="Verdana" w:eastAsia="宋体" w:hAnsi="Verdana" w:cs="宋体"/>
          <w:color w:val="4B4B4B"/>
          <w:kern w:val="0"/>
          <w:szCs w:val="21"/>
        </w:rPr>
        <w:t>基金管理人认为有充足理由更换会计师事务所，须通报基金托管人。更换会计师事务所需在</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个工作日内在指定媒介公告并报中国证监会备案。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126" w:name="_Toc360793859"/>
      <w:bookmarkStart w:id="127" w:name="_Toc360794109"/>
      <w:bookmarkStart w:id="128" w:name="_Toc360794417"/>
      <w:bookmarkStart w:id="129" w:name="_Toc360794525"/>
      <w:bookmarkStart w:id="130" w:name="_Toc362455192"/>
      <w:bookmarkStart w:id="131" w:name="_Toc362533464"/>
      <w:bookmarkStart w:id="132" w:name="_Toc416453854"/>
      <w:bookmarkStart w:id="133" w:name="_Toc360793507"/>
      <w:bookmarkEnd w:id="126"/>
      <w:bookmarkEnd w:id="127"/>
      <w:bookmarkEnd w:id="128"/>
      <w:bookmarkEnd w:id="129"/>
      <w:bookmarkEnd w:id="130"/>
      <w:bookmarkEnd w:id="131"/>
      <w:bookmarkEnd w:id="132"/>
      <w:r w:rsidRPr="00417752">
        <w:rPr>
          <w:rFonts w:ascii="Verdana" w:eastAsia="宋体" w:hAnsi="Verdana" w:cs="宋体"/>
          <w:b/>
          <w:bCs/>
          <w:color w:val="4B4B4B"/>
          <w:kern w:val="0"/>
          <w:szCs w:val="21"/>
        </w:rPr>
        <w:t>十五、</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基金的信息披露</w:t>
      </w:r>
      <w:bookmarkEnd w:id="133"/>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本基金的信息披露应符合《基金法》、《运作办法》、《信息披露办法》、《基金合同》及其他有关规定。相关法律法规关于信息披露的披露方式、披露内容、登载媒介、报备方式等规定发生变化时，本基金从其最新规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二、信息披露义务人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本基金信息披露义务人包括基金管理人、基金托管人、召集基金份额持有人大会的基金份额持有人等法律法规和中国证监会规定的自然人、法人和其他组织。</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本基金信息披露义务人按照法律法规和中国证监会的规定披露基金信息，并保证所披露信息的真实性、准确性和完整性。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本基金信息披露义务人应当在中国证监会规定时间内，将应予披露的基金信息通过中国证监会指定的媒介披露，并保证基金投资人能够按照《基金合同》约定的时间和方式查阅或者复制公开披露的信息资料。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三、本基金信息披露义务人承诺公开披露的基金信息，不得有下列行为：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、虚假记载、误导性陈述或者重大遗漏；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、对证券投资业绩进行预测；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、违规承诺收益或者承担损失；</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、诋毁其他基金管理人、基金托管人或者基金销售机构；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、登载任何自然人、法人或者其他组织的祝贺性、恭维性或推荐性的文字；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、中国证监会禁止的其他行为。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四、本基金公开披露的信息应采用中文文本。如同时采用外文文本的，基金信息披露义务人应保证两种文本的内容一致。两种文本发生歧义的，以中文文本为准。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本基金公开披露的信息采用阿拉伯数字；除特别说明外，货币单位为人民币元。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五、公开披露的基金信息</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公开披露的基金信息包括：</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（一）基金招募说明书、《基金合同》、基金托管协议</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、《基金合同》是界定《基金合同》当事人的各项权利、义务关系，明确基金份额持有人大会召开的规则及具体程序，说明基金产品的特性等涉及基金投资人重大利益的事项的法律文件。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招募说明书应当最大限度地披露影响基金投资人决策的全部事项，说明基金认购、申购和赎回安排、基金投资、基金产品特性、风险揭示、信息披露及基金份额持有人服务等内容。《基金合同》生效后，基金管理人在每</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个月结束之日起</w:t>
      </w:r>
      <w:r w:rsidRPr="00417752">
        <w:rPr>
          <w:rFonts w:ascii="Verdana" w:eastAsia="宋体" w:hAnsi="Verdana" w:cs="宋体"/>
          <w:color w:val="4B4B4B"/>
          <w:kern w:val="0"/>
          <w:szCs w:val="21"/>
        </w:rPr>
        <w:t>45</w:t>
      </w:r>
      <w:r w:rsidRPr="00417752">
        <w:rPr>
          <w:rFonts w:ascii="Verdana" w:eastAsia="宋体" w:hAnsi="Verdana" w:cs="宋体"/>
          <w:color w:val="4B4B4B"/>
          <w:kern w:val="0"/>
          <w:szCs w:val="21"/>
        </w:rPr>
        <w:t>日内，更新招募说明书并登载在网站上，将更新后的招募说明书摘要登载在指定媒介上；基金管理人在公告的</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日前向主要办公场所所在地的中国证监会派出机构报送更新的招募说明书，并就有关更新内容提供说明。</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本基金在招募说明书的显著位置披露投资中小企业私募债券的流动性风险和信用风险，并说明投资中小企业私募债券对基金总体风险和投资情况。</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本基金在招募说明书（更新）等文件中披露股指期货交易情况，包括投资政策、持仓情况、损益情况、风险指标等，并充分揭示股指期货交易对基金总体风险的影响以及是否符合既定的投资政策和投资目标。</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、基金托管协议是界定基金托管人和基金管理人在基金财产保管及基金运作监督等活动中的权利、义务关系的法律文件。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基金募集申请经中国证监会注册后，基金管理人在基金份额发售的</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日前，将基金招募说明书、《基金合同》摘要登载在指定媒介上；基金管理人、基金托管人应当将《基金合同》、基金托管协议登载在网站上。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（二）基金份额发售公告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基金管理人应当就基金份额发售的具体事宜编制基金份额发售公告，并在披露招募说明书的当日登载于指定媒介上。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（三）《基金合同》生效公告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基金管理人应当在收到中国证监会确认文件的次日在指定媒介上登载《基金合同》生效公告。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（四）基金资产净值、基金份额净值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《基金合同》生效后，在开始办理基金份额申购或者赎回前，基金管理人应当至少每周公告一次基金资产净值和基金份额净值。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在开始办理基金份额申购或者赎回后，基金管理人应当在每个开放日的次日，通过网站、基金份额发售网点以及其他媒介，披露开放日的基金份额净值和基金份额累计净值。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（五）基金份额申购、赎回价格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基金管理人应当在《基金合同》、招募说明书等信息披露文件上载明基金份额申购、赎回价格的计算方式及有关申购、赎回费率，并保证投资人能够在基金份额发售网点查阅或者复制前述信息资料。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（六）基金定期报告，包括基金年度报告、基金半年度报告和基金季度报告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基金管理人应当在每年结束之日起</w:t>
      </w:r>
      <w:r w:rsidRPr="00417752">
        <w:rPr>
          <w:rFonts w:ascii="Verdana" w:eastAsia="宋体" w:hAnsi="Verdana" w:cs="宋体"/>
          <w:color w:val="4B4B4B"/>
          <w:kern w:val="0"/>
          <w:szCs w:val="21"/>
        </w:rPr>
        <w:t>90</w:t>
      </w:r>
      <w:r w:rsidRPr="00417752">
        <w:rPr>
          <w:rFonts w:ascii="Verdana" w:eastAsia="宋体" w:hAnsi="Verdana" w:cs="宋体"/>
          <w:color w:val="4B4B4B"/>
          <w:kern w:val="0"/>
          <w:szCs w:val="21"/>
        </w:rPr>
        <w:t>日内，编制完成基金年度报告，并将年度报告正文登载于网站上，将年度报告摘要登载在指定媒介上。基金年度报告的财务会计报告应当经过审计。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基金管理人应当在上半年结束之日起</w:t>
      </w:r>
      <w:r w:rsidRPr="00417752">
        <w:rPr>
          <w:rFonts w:ascii="Verdana" w:eastAsia="宋体" w:hAnsi="Verdana" w:cs="宋体"/>
          <w:color w:val="4B4B4B"/>
          <w:kern w:val="0"/>
          <w:szCs w:val="21"/>
        </w:rPr>
        <w:t>60</w:t>
      </w:r>
      <w:r w:rsidRPr="00417752">
        <w:rPr>
          <w:rFonts w:ascii="Verdana" w:eastAsia="宋体" w:hAnsi="Verdana" w:cs="宋体"/>
          <w:color w:val="4B4B4B"/>
          <w:kern w:val="0"/>
          <w:szCs w:val="21"/>
        </w:rPr>
        <w:t>日内，编制完成基金半年度报告，并将半年度报告正文登载在网站上，将半年度报告摘要登载在指定媒介上。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基金管理人应当在每个季度结束之日起</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个工作日内，编制完成基金季度报告，并将季度报告登载在指定媒介上。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《基金合同》生效不足</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个月的，基金管理人可以不编制当期季度报告、半年度报告或者年度报告。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基金定期报告在公开披露的第</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个工作日，分别报中国证监会和基金管理人主要办公场所所在地中国证监会派出机构备案。报备应当采用电子文本或书面报告方式。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本基金在季度报告、半年度报告、年度报告等定期报告等文件中披露中小企业私募债券的投资情况。</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名资产支持证券明细。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（七）临时报告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本基金发生重大事件，有关信息披露义务人应当在</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个工作日内编制临时报告书，予以公告，并在公开披露日分别报中国证监会和基金管理人主要办公场所所在地的中国证监会派出机构备案。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前款所称重大事件，是指可能对基金份额持有人权益或者基金份额的价格产生重大影响的下列事件：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、基金份额持有人大会的召开；</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、终止《基金合同》；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、转换基金运作方式；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、更换基金管理人、基金托管人；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、基金管理人、基金托管人的法定名称、住所发生变更；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、基金管理人股东及其出资比例发生变更；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、基金募集期延长；</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、基金管理人的董事长、总经理及其他高级管理人员、基金经理和基金托管人基金托管部门负责人发生变动；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、基金管理人的董事在一年内变更超过百分之五十；</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、基金管理人、基金托管人基金托管部门的主要业务人员在一年内变动超过百分之三十；</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11</w:t>
      </w:r>
      <w:r w:rsidRPr="00417752">
        <w:rPr>
          <w:rFonts w:ascii="Verdana" w:eastAsia="宋体" w:hAnsi="Verdana" w:cs="宋体"/>
          <w:color w:val="4B4B4B"/>
          <w:kern w:val="0"/>
          <w:szCs w:val="21"/>
        </w:rPr>
        <w:t>、涉及基金管理业务、基金财产、基金托管业务的诉讼或仲裁；</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、基金管理人、基金托管人受到监管部门的调查；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13</w:t>
      </w:r>
      <w:r w:rsidRPr="00417752">
        <w:rPr>
          <w:rFonts w:ascii="Verdana" w:eastAsia="宋体" w:hAnsi="Verdana" w:cs="宋体"/>
          <w:color w:val="4B4B4B"/>
          <w:kern w:val="0"/>
          <w:szCs w:val="21"/>
        </w:rPr>
        <w:t>、基金管理人及其董事、总经理及其他高级管理人员、基金经理受到严重行政处罚，基金托管人及其基金托管部门负责人受到严重行政处罚；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14</w:t>
      </w:r>
      <w:r w:rsidRPr="00417752">
        <w:rPr>
          <w:rFonts w:ascii="Verdana" w:eastAsia="宋体" w:hAnsi="Verdana" w:cs="宋体"/>
          <w:color w:val="4B4B4B"/>
          <w:kern w:val="0"/>
          <w:szCs w:val="21"/>
        </w:rPr>
        <w:t>、重大关联交易事项；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、基金收益分配事项；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16</w:t>
      </w:r>
      <w:r w:rsidRPr="00417752">
        <w:rPr>
          <w:rFonts w:ascii="Verdana" w:eastAsia="宋体" w:hAnsi="Verdana" w:cs="宋体"/>
          <w:color w:val="4B4B4B"/>
          <w:kern w:val="0"/>
          <w:szCs w:val="21"/>
        </w:rPr>
        <w:t>、管理费、托管费等费用计提标准、计提方式和费率发生变更；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17</w:t>
      </w:r>
      <w:r w:rsidRPr="00417752">
        <w:rPr>
          <w:rFonts w:ascii="Verdana" w:eastAsia="宋体" w:hAnsi="Verdana" w:cs="宋体"/>
          <w:color w:val="4B4B4B"/>
          <w:kern w:val="0"/>
          <w:szCs w:val="21"/>
        </w:rPr>
        <w:t>、基金份额净值计价错误达基金份额净值百分之零点五；</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18</w:t>
      </w:r>
      <w:r w:rsidRPr="00417752">
        <w:rPr>
          <w:rFonts w:ascii="Verdana" w:eastAsia="宋体" w:hAnsi="Verdana" w:cs="宋体"/>
          <w:color w:val="4B4B4B"/>
          <w:kern w:val="0"/>
          <w:szCs w:val="21"/>
        </w:rPr>
        <w:t>、基金改聘会计师事务所；</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19</w:t>
      </w:r>
      <w:r w:rsidRPr="00417752">
        <w:rPr>
          <w:rFonts w:ascii="Verdana" w:eastAsia="宋体" w:hAnsi="Verdana" w:cs="宋体"/>
          <w:color w:val="4B4B4B"/>
          <w:kern w:val="0"/>
          <w:szCs w:val="21"/>
        </w:rPr>
        <w:t>、变更基金销售机构；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、更换基金登记机构；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21</w:t>
      </w:r>
      <w:r w:rsidRPr="00417752">
        <w:rPr>
          <w:rFonts w:ascii="Verdana" w:eastAsia="宋体" w:hAnsi="Verdana" w:cs="宋体"/>
          <w:color w:val="4B4B4B"/>
          <w:kern w:val="0"/>
          <w:szCs w:val="21"/>
        </w:rPr>
        <w:t>、本基金开始办理申购、赎回；</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22</w:t>
      </w:r>
      <w:r w:rsidRPr="00417752">
        <w:rPr>
          <w:rFonts w:ascii="Verdana" w:eastAsia="宋体" w:hAnsi="Verdana" w:cs="宋体"/>
          <w:color w:val="4B4B4B"/>
          <w:kern w:val="0"/>
          <w:szCs w:val="21"/>
        </w:rPr>
        <w:t>、本基金申购、赎回费率及其收费方式发生变更；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23</w:t>
      </w:r>
      <w:r w:rsidRPr="00417752">
        <w:rPr>
          <w:rFonts w:ascii="Verdana" w:eastAsia="宋体" w:hAnsi="Verdana" w:cs="宋体"/>
          <w:color w:val="4B4B4B"/>
          <w:kern w:val="0"/>
          <w:szCs w:val="21"/>
        </w:rPr>
        <w:t>、本基金发生巨额赎回并延期办理；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24</w:t>
      </w:r>
      <w:r w:rsidRPr="00417752">
        <w:rPr>
          <w:rFonts w:ascii="Verdana" w:eastAsia="宋体" w:hAnsi="Verdana" w:cs="宋体"/>
          <w:color w:val="4B4B4B"/>
          <w:kern w:val="0"/>
          <w:szCs w:val="21"/>
        </w:rPr>
        <w:t>、本基金连续发生巨额赎回并暂停接受赎回申请；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25</w:t>
      </w:r>
      <w:r w:rsidRPr="00417752">
        <w:rPr>
          <w:rFonts w:ascii="Verdana" w:eastAsia="宋体" w:hAnsi="Verdana" w:cs="宋体"/>
          <w:color w:val="4B4B4B"/>
          <w:kern w:val="0"/>
          <w:szCs w:val="21"/>
        </w:rPr>
        <w:t>、本基金暂停接受申购、赎回申请后重新接受申购、赎回；</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26</w:t>
      </w:r>
      <w:r w:rsidRPr="00417752">
        <w:rPr>
          <w:rFonts w:ascii="Verdana" w:eastAsia="宋体" w:hAnsi="Verdana" w:cs="宋体"/>
          <w:color w:val="4B4B4B"/>
          <w:kern w:val="0"/>
          <w:szCs w:val="21"/>
        </w:rPr>
        <w:t>、本基金投资中小企业私募债券后两个交易日内，在中国证监会指定媒介披露所投资中小企业私募债券的名称、数量、期限、收益率等信息；</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27</w:t>
      </w:r>
      <w:r w:rsidRPr="00417752">
        <w:rPr>
          <w:rFonts w:ascii="Verdana" w:eastAsia="宋体" w:hAnsi="Verdana" w:cs="宋体"/>
          <w:color w:val="4B4B4B"/>
          <w:kern w:val="0"/>
          <w:szCs w:val="21"/>
        </w:rPr>
        <w:t>、中国证监会规定的其他事项。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（八）澄清公告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（九）基金份额持有人大会决议</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基金份额持有人大会决定的事项，应当依法报中国证监会备案，并予以公告。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（十）中国证监会规定的其他信息。</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六、信息披露事务管理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基金管理人、基金托管人应当建立健全信息披露管理制度，指定专人负责管理信息披露事务。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基金信息披露义务人公开披露基金信息，应当符合中国证监会相关基金信息披露内容与格式准则的规定。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基金管理人、基金托管人应当在指定媒介中选择披露信息的媒介。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基金管理人、基金托管人除依法在指定媒介上披露信息外，还可以根据需要在其他公共媒介披露信息，但是其他公共媒介不得早于指定媒介披露信息，并且在不同媒介上披露同一信息的内容应当一致。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为基金信息披露义务人公开披露的基金信息出具审计报告、法律意见书的专业机构，应当制作工作底稿，并将相关档案至少保存到《基金合同》终止后</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七、信息披露文件的存放与查阅</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招募说明书公布后，应当分别置备于基金管理人、基金托管人和基金销售机构的住所，供公众查阅、复制。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基金定期报告公布后，应当分别置备于基金管理人和基金托管人的住所，以供公众查阅、复制。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134" w:name="_Toc360793860"/>
      <w:bookmarkStart w:id="135" w:name="_Toc360794110"/>
      <w:bookmarkStart w:id="136" w:name="_Toc360794418"/>
      <w:bookmarkStart w:id="137" w:name="_Toc360794526"/>
      <w:bookmarkStart w:id="138" w:name="_Toc362455193"/>
      <w:bookmarkStart w:id="139" w:name="_Toc362533465"/>
      <w:bookmarkStart w:id="140" w:name="_Toc416453855"/>
      <w:bookmarkStart w:id="141" w:name="_Toc360793508"/>
      <w:bookmarkEnd w:id="134"/>
      <w:bookmarkEnd w:id="135"/>
      <w:bookmarkEnd w:id="136"/>
      <w:bookmarkEnd w:id="137"/>
      <w:bookmarkEnd w:id="138"/>
      <w:bookmarkEnd w:id="139"/>
      <w:bookmarkEnd w:id="140"/>
      <w:r w:rsidRPr="00417752">
        <w:rPr>
          <w:rFonts w:ascii="Verdana" w:eastAsia="宋体" w:hAnsi="Verdana" w:cs="宋体"/>
          <w:b/>
          <w:bCs/>
          <w:color w:val="4B4B4B"/>
          <w:kern w:val="0"/>
          <w:szCs w:val="21"/>
        </w:rPr>
        <w:t>十六、</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风险揭示</w:t>
      </w:r>
      <w:bookmarkEnd w:id="141"/>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一、市场风险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证券市场价格受到经济因素、政治因素、投资心理和交易制度等各种因素的影响，导致基金收益水平变化，产生风险，主要包括：</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、政策风险。因国家宏观政策（如货币政策、财政政策、行业政策、地区发展政策等）发生变化，导致市场价格波动而产生风险；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、经济周期风险。随经济运行的周期性变化，证券市场的收益水平也呈周期性变化。基金投资于国债与上市公司的股票，收益水平也会随之变化，从而产生风险；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、购买力风险。基金的利润将主要通过现金形式来分配，而现金可能因为通货膨胀的影响而导致购买力下降，从而使基金的实际收益下降；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、信用风险。主要是指债务人的违约风险，若债务人经营不善，资不抵债，债权人可能会损失掉大部分的投资，这主要体现在企业债中；</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、债券收益率曲线变动风险。债券收益率曲线变动风险是指与收益率曲线非平行移动有关的风险，单一的久期指标并不能充分反映这一风险的存在；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二、管理风险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在基金管理运作过程中基金管理人的知识、经验、判断、决策、技能等，会影响其对信息的占有和对经济形势、证券价格走势的判断，从而影响基金收益水平，造成管理风险。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三、流动性风险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本基金属开放式基金，在所有开放日管理人有义务接受投资人的赎回。如果出现较大数额的赎回申请，则使基金资产变现困难，基金面临流动性风险。</w:t>
      </w:r>
      <w:r w:rsidRPr="00417752">
        <w:rPr>
          <w:rFonts w:ascii="Verdana" w:eastAsia="宋体" w:hAnsi="Verdana" w:cs="宋体"/>
          <w:b/>
          <w:bCs/>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四、其他风险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、因技术因素而产生的风险，如电脑系统不可靠产生的风险；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、因业务快速发展而在制度建设、人员配备、内控制度建立等不完善而产生的风险；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、因人为因素而产生的风险、如内幕交易、欺诈行为等产生的风险；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、对主要业务人员如基金经理的依赖而可能产生的风险；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、因业务竞争压力可能产生的风险；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、不可抗力可能导致基金资产的损失，影响基金收益水平，从而带来风险；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、其他意外导致的风险。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五、本基金特有的风险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、本基金为股票型基金，股票资产占基金资产的比例范围为</w:t>
      </w:r>
      <w:r w:rsidRPr="00417752">
        <w:rPr>
          <w:rFonts w:ascii="Verdana" w:eastAsia="宋体" w:hAnsi="Verdana" w:cs="宋体"/>
          <w:color w:val="4B4B4B"/>
          <w:kern w:val="0"/>
          <w:szCs w:val="21"/>
        </w:rPr>
        <w:t>80%-95%</w:t>
      </w:r>
      <w:r w:rsidRPr="00417752">
        <w:rPr>
          <w:rFonts w:ascii="Verdana" w:eastAsia="宋体" w:hAnsi="Verdana" w:cs="宋体"/>
          <w:color w:val="4B4B4B"/>
          <w:kern w:val="0"/>
          <w:szCs w:val="21"/>
        </w:rPr>
        <w:t>，因此股票市场的变化将影响到基金业绩表现，基金净值表现因此可能受到影响。本基金管理人将发挥专业研究优势，加强对市场、上市公司基本面和固定收益类产品的深入研究，持续优化组合配置，以控制特定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、本基金投资中小企业私募债券，中小企业私募债是根据相关法律法规由非上市中小企业采用非公开方式发行的债券。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当发债主体信用质量恶化时，受市场流动性所限，本基金可能无法卖出所持有的中小企业私募债，由此可能给基金净值带来更大的负面影响和损失。</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、本基金投资股指期货的风险。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本基金可投资于股指期货，股指期货作为一种金融衍生品，主要存在以下风险：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）市场风险：是指由于股指期货价格变动而给投资者带来的风险。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）流动性风险：是指由于股指期货合约无法及时变现所带来的风险。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）基差风险：是指股指期货合约价格和标的指数价格之间的价格差的波动所造成的风险。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）保证金风险：是指由于无法及时筹措资金满足建立或者维持股指期货合约头寸所要求的保证金而带来的风险。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）杠杆风险：因股指期货采用保证金交易而存在杠杆，基金财产可能因此产生更大的收益波动。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）信用风险：是指期货经纪公司违约而产生损失的风险。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）操作风险：是指由于内部流程的不完善，业务人员出现差错或者疏漏，或者系统出现故障等原因造成损失的风险。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六、本基金法律文件风险收益特征表述与销售机构基金风险评价可能不一致的风险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本基金法律文件投资章节有关风险收益特征的表述是基于投资范围、投资比例、证券市场普遍规律等做出的概述性描述，代表了一般市场情况下本基金的长期风险收益特征。销售机构</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包括基金管理人直销机构和其他销售机构</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142" w:name="_Toc360793861"/>
      <w:bookmarkStart w:id="143" w:name="_Toc360794111"/>
      <w:bookmarkStart w:id="144" w:name="_Toc360794419"/>
      <w:bookmarkStart w:id="145" w:name="_Toc360794527"/>
      <w:bookmarkStart w:id="146" w:name="_Toc362455194"/>
      <w:bookmarkStart w:id="147" w:name="_Toc362533466"/>
      <w:bookmarkStart w:id="148" w:name="_Toc416453856"/>
      <w:bookmarkStart w:id="149" w:name="_Toc360793509"/>
      <w:bookmarkEnd w:id="142"/>
      <w:bookmarkEnd w:id="143"/>
      <w:bookmarkEnd w:id="144"/>
      <w:bookmarkEnd w:id="145"/>
      <w:bookmarkEnd w:id="146"/>
      <w:bookmarkEnd w:id="147"/>
      <w:bookmarkEnd w:id="148"/>
      <w:r w:rsidRPr="00417752">
        <w:rPr>
          <w:rFonts w:ascii="Verdana" w:eastAsia="宋体" w:hAnsi="Verdana" w:cs="宋体"/>
          <w:b/>
          <w:bCs/>
          <w:color w:val="4B4B4B"/>
          <w:kern w:val="0"/>
          <w:szCs w:val="21"/>
        </w:rPr>
        <w:t>十七、</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基金合同的变更、终止和基金财产的清算</w:t>
      </w:r>
      <w:bookmarkEnd w:id="149"/>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bookmarkStart w:id="150" w:name="_Toc79392639"/>
      <w:r w:rsidRPr="00417752">
        <w:rPr>
          <w:rFonts w:ascii="Verdana" w:eastAsia="宋体" w:hAnsi="Verdana" w:cs="宋体"/>
          <w:color w:val="4B4B4B"/>
          <w:kern w:val="0"/>
          <w:szCs w:val="21"/>
        </w:rPr>
        <w:t>一、《基金合同》的变更</w:t>
      </w:r>
      <w:bookmarkEnd w:id="150"/>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、关于《基金合同》变更的基金份额持有人大会决议自生效后方可执行，并自决议生效后</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个工作日内在指定媒介公告。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二、《基金合同》的终止事由</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有下列情形之一的，《基金合同》应当终止：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、基金份额持有人大会决定终止的；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、基金管理人、基金托管人职责终止，在</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个月内没有新基金管理人、新基金托管人承接的；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、《基金合同》约定的其他情形；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、相关法律法规和中国证监会规定的其他情况。</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三、基金财产的清算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、基金财产清算小组：自出现《基金合同》终止事由之日起</w:t>
      </w:r>
      <w:r w:rsidRPr="00417752">
        <w:rPr>
          <w:rFonts w:ascii="Verdana" w:eastAsia="宋体" w:hAnsi="Verdana" w:cs="宋体"/>
          <w:color w:val="4B4B4B"/>
          <w:kern w:val="0"/>
          <w:szCs w:val="21"/>
        </w:rPr>
        <w:t>30</w:t>
      </w:r>
      <w:r w:rsidRPr="00417752">
        <w:rPr>
          <w:rFonts w:ascii="Verdana" w:eastAsia="宋体" w:hAnsi="Verdana" w:cs="宋体"/>
          <w:color w:val="4B4B4B"/>
          <w:kern w:val="0"/>
          <w:szCs w:val="21"/>
        </w:rPr>
        <w:t>个工作日内成立清算小组，基金管理人组织基金财产清算小组并在中国证监会的监督下进行基金清算。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、基金财产清算小组职责：基金财产清算小组负责基金财产的保管、清理、估价、变现和分配。基金财产清算小组可以依法进行必要的民事活动。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、基金财产清算程序：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）《基金合同》终止情形出现时，由基金财产清算小组统一接管基金；</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）对基金财产和债权债务进行清理和确认；</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）对基金财产进行估值和变现；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）制作清算报告；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）聘请会计师事务所对清算报告进行外部审计，聘请律师事务所对清算报告出具法律意见书；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）将清算报告报中国证监会备案并公告；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）对基金剩余财产进行分配。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、基金财产清算的期限为</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个月。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四、清算费用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清算费用是指基金财产清算小组在进行基金清算过程中发生的所有合理费用，清算费用由基金财产清算小组优先从基金财产中支付。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五、基金财产清算剩余资产的分配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依据基金财产清算的分配方案，将基金财产清算后的全部剩余资产扣除基金财产清算费用、交纳所欠税款并清偿基金债务后，按基金份额持有人持有的基金份额比例进行分配。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六、基金财产清算的公告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清算过程中的有关重大事项须及时公告；基金财产清算报告经会计师事务所审计并由律师事务所出具法律意见书后报中国证监会备案并公告。基金财产清算公告于基金财产清算报告报中国证监会备案后</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个工作日内由基金财产清算小组进行公告。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七、基金财产清算账册及文件的保存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基金财产清算账册及有关文件由基金托管人保存</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年以上。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151" w:name="_Toc360793862"/>
      <w:bookmarkStart w:id="152" w:name="_Toc360794112"/>
      <w:bookmarkStart w:id="153" w:name="_Toc360794420"/>
      <w:bookmarkStart w:id="154" w:name="_Toc360794528"/>
      <w:bookmarkStart w:id="155" w:name="_Toc362455195"/>
      <w:bookmarkStart w:id="156" w:name="_Toc362533467"/>
      <w:bookmarkStart w:id="157" w:name="_Toc416453857"/>
      <w:bookmarkStart w:id="158" w:name="_Toc360793510"/>
      <w:bookmarkEnd w:id="151"/>
      <w:bookmarkEnd w:id="152"/>
      <w:bookmarkEnd w:id="153"/>
      <w:bookmarkEnd w:id="154"/>
      <w:bookmarkEnd w:id="155"/>
      <w:bookmarkEnd w:id="156"/>
      <w:bookmarkEnd w:id="157"/>
      <w:r w:rsidRPr="00417752">
        <w:rPr>
          <w:rFonts w:ascii="Verdana" w:eastAsia="宋体" w:hAnsi="Verdana" w:cs="宋体"/>
          <w:b/>
          <w:bCs/>
          <w:color w:val="4B4B4B"/>
          <w:kern w:val="0"/>
          <w:szCs w:val="21"/>
        </w:rPr>
        <w:t>十八、</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基金合同的内容摘要</w:t>
      </w:r>
      <w:bookmarkEnd w:id="158"/>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一、基金管理人、基金托管人和基金份额持有人的权利、义务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基金管理人的权利与义务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、根据《基金法》、《运作办法》及其他有关规定，基金管理人的权利包括但不限于：</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）依法募集资金；</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）自《基金合同》生效之日起，根据法律法规和《基金合同》独立运用并管理基金财产；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）依照《基金合同》收取基金管理费以及法律法规规定或中国证监会批准的其他费用；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）销售基金份额；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）按照规定召集基金份额持有人大会；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）依据《基金合同》及有关法律规定监督基金托管人，如认为基金托管人违反了《基金合同》及国家有关法律规定，应呈报中国证监会和其他监管部门，并采取必要措施保护基金投资人的利益；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）在基金托管人更换时，提名新的基金托管人；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）选择、更换基金销售机构，对基金销售机构的相关行为进行监督和处理；</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）担任或委托其他符合条件的机构担任基金登记机构办理基金登记业务；</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）依据《基金合同》及有关法律规定决定基金收益的分配方案；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11</w:t>
      </w:r>
      <w:r w:rsidRPr="00417752">
        <w:rPr>
          <w:rFonts w:ascii="Verdana" w:eastAsia="宋体" w:hAnsi="Verdana" w:cs="宋体"/>
          <w:color w:val="4B4B4B"/>
          <w:kern w:val="0"/>
          <w:szCs w:val="21"/>
        </w:rPr>
        <w:t>）在《基金合同》约定的范围内，拒绝或暂停受理申购与赎回申请；</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）依照法律法规为基金的利益对被投资公司行使股东权利，为基金的利益行使因基金财产投资于证券所产生的权利；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13</w:t>
      </w:r>
      <w:r w:rsidRPr="00417752">
        <w:rPr>
          <w:rFonts w:ascii="Verdana" w:eastAsia="宋体" w:hAnsi="Verdana" w:cs="宋体"/>
          <w:color w:val="4B4B4B"/>
          <w:kern w:val="0"/>
          <w:szCs w:val="21"/>
        </w:rPr>
        <w:t>）在条件允许的情况下，为基金的利益依法为基金进行融资、融券及转</w:t>
      </w:r>
      <w:r w:rsidRPr="00417752">
        <w:rPr>
          <w:rFonts w:ascii="Verdana" w:eastAsia="宋体" w:hAnsi="Verdana" w:cs="宋体"/>
          <w:color w:val="4B4B4B"/>
          <w:kern w:val="0"/>
          <w:szCs w:val="21"/>
          <w:shd w:val="clear" w:color="auto" w:fill="FF9632"/>
        </w:rPr>
        <w:t>融通</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14</w:t>
      </w:r>
      <w:r w:rsidRPr="00417752">
        <w:rPr>
          <w:rFonts w:ascii="Verdana" w:eastAsia="宋体" w:hAnsi="Verdana" w:cs="宋体"/>
          <w:color w:val="4B4B4B"/>
          <w:kern w:val="0"/>
          <w:szCs w:val="21"/>
        </w:rPr>
        <w:t>）以基金管理人的名义，代表基金份额持有人的利益行使诉讼权利或者实施其他法律行为；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）选择、更换律师事务所、会计师事务所、证券、期货经纪商或其他为基金提供服务的外部机构；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16</w:t>
      </w:r>
      <w:r w:rsidRPr="00417752">
        <w:rPr>
          <w:rFonts w:ascii="Verdana" w:eastAsia="宋体" w:hAnsi="Verdana" w:cs="宋体"/>
          <w:color w:val="4B4B4B"/>
          <w:kern w:val="0"/>
          <w:szCs w:val="21"/>
        </w:rPr>
        <w:t>）在符合有关法律、法规的前提下，制订和调整有关基金认购、申购、赎回、转换、非交易过户和定投等业务规则，在法律法规和本基金合同规定的范围内，不损害现有份额持有人利益的情况下，决定和调整基金的除调高管理费率、托管费率之外的基金相关费率结构和收费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17</w:t>
      </w:r>
      <w:r w:rsidRPr="00417752">
        <w:rPr>
          <w:rFonts w:ascii="Verdana" w:eastAsia="宋体" w:hAnsi="Verdana" w:cs="宋体"/>
          <w:color w:val="4B4B4B"/>
          <w:kern w:val="0"/>
          <w:szCs w:val="21"/>
        </w:rPr>
        <w:t>）法律法规及中国证监会规定的和《基金合同》约定的其他权利。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、根据《基金法》、《运作办法》及其他有关规定，基金管理人的义务包括但不限于：</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）依法募集资金，办理或者委托经中国证监会认定的其他机构代为办理基金份额的发售、申购、赎回和登记事宜；</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）办理基金备案手续；</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）自《基金合同》生效之日起</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以诚实信用、谨慎勤勉的原则管理和运用基金财产；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）配备足够的具有专业资格的人员进行基金投资分析、决策，以专业化的经营方式管理和运作基金财产；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）建立健全内部风险控制、监察与稽核、财务管理及人事管理等制度，保证所管理的基金财产和基金管理人的财产相互独立</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对所管理的不同基金分别管理，分别记账，进行证券投资；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）除依据《基金法》、《基金合同》及其他有关规定外</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不得利用基金财产为自己及任何第三人谋取利益，不得委托第三人运作基金财产；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）依法接受基金托管人的监督；</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）采取适当合理的措施使计算基金份额认购、申购、赎回和注销价格的方法符合《基金合同》等法律文件的规定，按有关规定计算并公告基金资产净值，确定基金份额申购、赎回的价格；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）进行基金会计核算并编制基金财务会计报告；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）编制季度、半年度和年度基金报告；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11</w:t>
      </w:r>
      <w:r w:rsidRPr="00417752">
        <w:rPr>
          <w:rFonts w:ascii="Verdana" w:eastAsia="宋体" w:hAnsi="Verdana" w:cs="宋体"/>
          <w:color w:val="4B4B4B"/>
          <w:kern w:val="0"/>
          <w:szCs w:val="21"/>
        </w:rPr>
        <w:t>）严格按照《基金法》、《基金合同》及其他有关规定，履行信息披露及报告义务；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保守基金商业秘密，不泄露基金投资计划、投资意向等。除《基金法》、《基金合同》及其他有关规定另有规定外，在基金信息公开披露前应予保密，不向他人泄露，但向审计、法律等外部专业顾问提供的除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13</w:t>
      </w:r>
      <w:r w:rsidRPr="00417752">
        <w:rPr>
          <w:rFonts w:ascii="Verdana" w:eastAsia="宋体" w:hAnsi="Verdana" w:cs="宋体"/>
          <w:color w:val="4B4B4B"/>
          <w:kern w:val="0"/>
          <w:szCs w:val="21"/>
        </w:rPr>
        <w:t>）按《基金合同》的约定确定基金收益分配方案，及时向基金份额持有人分配基金收益；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14</w:t>
      </w:r>
      <w:r w:rsidRPr="00417752">
        <w:rPr>
          <w:rFonts w:ascii="Verdana" w:eastAsia="宋体" w:hAnsi="Verdana" w:cs="宋体"/>
          <w:color w:val="4B4B4B"/>
          <w:kern w:val="0"/>
          <w:szCs w:val="21"/>
        </w:rPr>
        <w:t>）按规定受理申购与赎回申请，及时、足额支付赎回款项；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）依据《基金法》、《基金合同》及其他有关规定召集基金份额持有人大会或配合基金托管人、基金份额持有人依法召集基金份额持有人大会；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16</w:t>
      </w:r>
      <w:r w:rsidRPr="00417752">
        <w:rPr>
          <w:rFonts w:ascii="Verdana" w:eastAsia="宋体" w:hAnsi="Verdana" w:cs="宋体"/>
          <w:color w:val="4B4B4B"/>
          <w:kern w:val="0"/>
          <w:szCs w:val="21"/>
        </w:rPr>
        <w:t>）按规定保存基金财产管理业务活动的会计账册、报表、记录和其他相关资料</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年以上；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17</w:t>
      </w:r>
      <w:r w:rsidRPr="00417752">
        <w:rPr>
          <w:rFonts w:ascii="Verdana" w:eastAsia="宋体" w:hAnsi="Verdana" w:cs="宋体"/>
          <w:color w:val="4B4B4B"/>
          <w:kern w:val="0"/>
          <w:szCs w:val="21"/>
        </w:rPr>
        <w:t>）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18</w:t>
      </w:r>
      <w:r w:rsidRPr="00417752">
        <w:rPr>
          <w:rFonts w:ascii="Verdana" w:eastAsia="宋体" w:hAnsi="Verdana" w:cs="宋体"/>
          <w:color w:val="4B4B4B"/>
          <w:kern w:val="0"/>
          <w:szCs w:val="21"/>
        </w:rPr>
        <w:t>）组织并参加基金财产清算小组，参与基金财产的保管、清理、估价、变现和分配；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19</w:t>
      </w:r>
      <w:r w:rsidRPr="00417752">
        <w:rPr>
          <w:rFonts w:ascii="Verdana" w:eastAsia="宋体" w:hAnsi="Verdana" w:cs="宋体"/>
          <w:color w:val="4B4B4B"/>
          <w:kern w:val="0"/>
          <w:szCs w:val="21"/>
        </w:rPr>
        <w:t>）面临解散、依法被撤销或者被依法宣告破产时，及时报告中国证监会并通知基金托管人；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）因违反《基金合同》导致基金财产的损失或损害基金份额持有人合法权益时，应当承担赔偿责任，其赔偿责任不因其退任而免除；</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21</w:t>
      </w:r>
      <w:r w:rsidRPr="00417752">
        <w:rPr>
          <w:rFonts w:ascii="Verdana" w:eastAsia="宋体" w:hAnsi="Verdana" w:cs="宋体"/>
          <w:color w:val="4B4B4B"/>
          <w:kern w:val="0"/>
          <w:szCs w:val="21"/>
        </w:rPr>
        <w:t>）监督基金托管人按法律法规和《基金合同》规定履行自己的义务，基金托管人违反《基金合同》造成基金财产损失时，基金管理人应为基金份额持有人利益向基金托管人追偿；</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22</w:t>
      </w:r>
      <w:r w:rsidRPr="00417752">
        <w:rPr>
          <w:rFonts w:ascii="Verdana" w:eastAsia="宋体" w:hAnsi="Verdana" w:cs="宋体"/>
          <w:color w:val="4B4B4B"/>
          <w:kern w:val="0"/>
          <w:szCs w:val="21"/>
        </w:rPr>
        <w:t>）当基金管理人将其义务委托第三方处理时，应当对第三方处理有关基金事务的行为承担责任；</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23</w:t>
      </w:r>
      <w:r w:rsidRPr="00417752">
        <w:rPr>
          <w:rFonts w:ascii="Verdana" w:eastAsia="宋体" w:hAnsi="Verdana" w:cs="宋体"/>
          <w:color w:val="4B4B4B"/>
          <w:kern w:val="0"/>
          <w:szCs w:val="21"/>
        </w:rPr>
        <w:t>）以基金管理人名义，代表基金份额持有人利益行使诉讼权利或实施其他法律行为；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24</w:t>
      </w:r>
      <w:r w:rsidRPr="00417752">
        <w:rPr>
          <w:rFonts w:ascii="Verdana" w:eastAsia="宋体" w:hAnsi="Verdana" w:cs="宋体"/>
          <w:color w:val="4B4B4B"/>
          <w:kern w:val="0"/>
          <w:szCs w:val="21"/>
        </w:rPr>
        <w:t>）基金管理人在募集期间未能达到基金的备案条件，《基金合同》不能生效，基金管理人承担全部募集费用，将已募集资金并加计银行同期活期存款利息在基金募集期结束后</w:t>
      </w:r>
      <w:r w:rsidRPr="00417752">
        <w:rPr>
          <w:rFonts w:ascii="Verdana" w:eastAsia="宋体" w:hAnsi="Verdana" w:cs="宋体"/>
          <w:color w:val="4B4B4B"/>
          <w:kern w:val="0"/>
          <w:szCs w:val="21"/>
        </w:rPr>
        <w:t>30</w:t>
      </w:r>
      <w:r w:rsidRPr="00417752">
        <w:rPr>
          <w:rFonts w:ascii="Verdana" w:eastAsia="宋体" w:hAnsi="Verdana" w:cs="宋体"/>
          <w:color w:val="4B4B4B"/>
          <w:kern w:val="0"/>
          <w:szCs w:val="21"/>
        </w:rPr>
        <w:t>日内退还基金认购人；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25</w:t>
      </w:r>
      <w:r w:rsidRPr="00417752">
        <w:rPr>
          <w:rFonts w:ascii="Verdana" w:eastAsia="宋体" w:hAnsi="Verdana" w:cs="宋体"/>
          <w:color w:val="4B4B4B"/>
          <w:kern w:val="0"/>
          <w:szCs w:val="21"/>
        </w:rPr>
        <w:t>）执行生效的基金份额持有人大会的决议；</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26</w:t>
      </w:r>
      <w:r w:rsidRPr="00417752">
        <w:rPr>
          <w:rFonts w:ascii="Verdana" w:eastAsia="宋体" w:hAnsi="Verdana" w:cs="宋体"/>
          <w:color w:val="4B4B4B"/>
          <w:kern w:val="0"/>
          <w:szCs w:val="21"/>
        </w:rPr>
        <w:t>）建立并保存基金份额持有人名册；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27</w:t>
      </w:r>
      <w:r w:rsidRPr="00417752">
        <w:rPr>
          <w:rFonts w:ascii="Verdana" w:eastAsia="宋体" w:hAnsi="Verdana" w:cs="宋体"/>
          <w:color w:val="4B4B4B"/>
          <w:kern w:val="0"/>
          <w:szCs w:val="21"/>
        </w:rPr>
        <w:t>）法律法规及中国证监会规定的和《基金合同》约定的其他义务。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（二）基金托管人的权利与义务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、根据《基金法》、《运作办法》及其他有关规定，基金托管人的权利包括但不限于：</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）自《基金合同》生效之日起，依法律法规和《基金合同》的规定安全保管基金财产；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）依《基金合同》约定获得基金托管费以及法律法规规定或监管部门批准的其他费用；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）根据相关市场规则，为基金开设证券账户，为基金办理证券、期货等交易资金清算；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）提议召开或召集基金份额持有人大会；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）在基金管理人更换时，提名新的基金管理人；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）法律法规及中国证监会规定的和《基金合同》约定的其他权利。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、根据《基金法》、《运作办法》及其他有关规定，基金托管人的义务包括但不限于：</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）以诚实信用、勤勉尽责的原则持有并安全保管基金财产；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）设立专门的基金托管部门，具有符合要求的营业场所，配备足够的、合格的熟悉基金托管业务的专职人员，负责基金财产托管事宜；</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）除依据《基金法》、《基金合同》及其他有关规定外，不得利用基金财产为自己及任何第三人谋取利益，不得委托第三人托管基金财产；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）保管由基金管理人代表基金签订的与基金有关的重大合同及有关凭证；</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）按规定开设基金财产的资金账户、证券账户，按照《基金合同》的约定，根据基金管理人的投资指令，及时办理清算、交割事宜；</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）保守基金商业秘密，除《基金法》、《基金合同》及其他有关规定另有规定外，在基金信息公开披露前予以保密，不得向他人泄露，但向审计、法律等外部专业顾问提供的除外；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）复核、审查基金管理人计算的基金资产净值、基金份额申购、赎回价格；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）办理与基金托管业务活动有关的信息披露事项；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11</w:t>
      </w:r>
      <w:r w:rsidRPr="00417752">
        <w:rPr>
          <w:rFonts w:ascii="Verdana" w:eastAsia="宋体" w:hAnsi="Verdana" w:cs="宋体"/>
          <w:color w:val="4B4B4B"/>
          <w:kern w:val="0"/>
          <w:szCs w:val="21"/>
        </w:rPr>
        <w:t>）保存基金托管业务活动的记录、账册、报表和其他相关资料</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年以上；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）建立并保存基金份额持有人名册；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13</w:t>
      </w:r>
      <w:r w:rsidRPr="00417752">
        <w:rPr>
          <w:rFonts w:ascii="Verdana" w:eastAsia="宋体" w:hAnsi="Verdana" w:cs="宋体"/>
          <w:color w:val="4B4B4B"/>
          <w:kern w:val="0"/>
          <w:szCs w:val="21"/>
        </w:rPr>
        <w:t>）按规定制作相关账册并与基金管理人核对；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14</w:t>
      </w:r>
      <w:r w:rsidRPr="00417752">
        <w:rPr>
          <w:rFonts w:ascii="Verdana" w:eastAsia="宋体" w:hAnsi="Verdana" w:cs="宋体"/>
          <w:color w:val="4B4B4B"/>
          <w:kern w:val="0"/>
          <w:szCs w:val="21"/>
        </w:rPr>
        <w:t>）依据基金管理人的指令或有关规定向基金份额持有人支付基金收益和赎回款项；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）依据《基金法》、《基金合同》及其他有关规定，召集基金份额持有人大会或配合基金管理人、基金份额持有人依法召集基金份额持有人大会；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16</w:t>
      </w:r>
      <w:r w:rsidRPr="00417752">
        <w:rPr>
          <w:rFonts w:ascii="Verdana" w:eastAsia="宋体" w:hAnsi="Verdana" w:cs="宋体"/>
          <w:color w:val="4B4B4B"/>
          <w:kern w:val="0"/>
          <w:szCs w:val="21"/>
        </w:rPr>
        <w:t>）按照法律法规、《基金合同》和《托管协议》的规定监督基金管理人的投资运作；</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17</w:t>
      </w:r>
      <w:r w:rsidRPr="00417752">
        <w:rPr>
          <w:rFonts w:ascii="Verdana" w:eastAsia="宋体" w:hAnsi="Verdana" w:cs="宋体"/>
          <w:color w:val="4B4B4B"/>
          <w:kern w:val="0"/>
          <w:szCs w:val="21"/>
        </w:rPr>
        <w:t>）参加基金财产清算小组，参与基金财产的保管、清理、估价、变现和分配；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18</w:t>
      </w:r>
      <w:r w:rsidRPr="00417752">
        <w:rPr>
          <w:rFonts w:ascii="Verdana" w:eastAsia="宋体" w:hAnsi="Verdana" w:cs="宋体"/>
          <w:color w:val="4B4B4B"/>
          <w:kern w:val="0"/>
          <w:szCs w:val="21"/>
        </w:rPr>
        <w:t>）面临解散、依法被撤销或者被依法宣告破产时，及时报告中国证监会和银行业监督管理机构，并通知基金管理人；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19</w:t>
      </w:r>
      <w:r w:rsidRPr="00417752">
        <w:rPr>
          <w:rFonts w:ascii="Verdana" w:eastAsia="宋体" w:hAnsi="Verdana" w:cs="宋体"/>
          <w:color w:val="4B4B4B"/>
          <w:kern w:val="0"/>
          <w:szCs w:val="21"/>
        </w:rPr>
        <w:t>）因违反《基金合同》导致基金财产损失时，应承担赔偿责任，其赔偿责任不因其退任而免除；</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）按规定监督基金管理人按法律法规和《基金合同》规定履行自己的义务，基金管理人因违反《基金合同》造成基金财产损失时，应为基金份额持有人利益向基金管理人追偿；</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21</w:t>
      </w:r>
      <w:r w:rsidRPr="00417752">
        <w:rPr>
          <w:rFonts w:ascii="Verdana" w:eastAsia="宋体" w:hAnsi="Verdana" w:cs="宋体"/>
          <w:color w:val="4B4B4B"/>
          <w:kern w:val="0"/>
          <w:szCs w:val="21"/>
        </w:rPr>
        <w:t>）执行生效的基金份额持有人大会的决议；</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22</w:t>
      </w:r>
      <w:r w:rsidRPr="00417752">
        <w:rPr>
          <w:rFonts w:ascii="Verdana" w:eastAsia="宋体" w:hAnsi="Verdana" w:cs="宋体"/>
          <w:color w:val="4B4B4B"/>
          <w:kern w:val="0"/>
          <w:szCs w:val="21"/>
        </w:rPr>
        <w:t>）法律法规及中国证监会规定的和《基金合同》约定的其他义务。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（三）基金份额持有人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每份基金份额具有同等的合法权益。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、根据《基金法》、《运作办法》及其他有关规定，基金份额持有人的权利包括但不限于：</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）分享基金财产收益；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）参与分配清算后的剩余基金财产；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）依法申请赎回或转让其持有的基金份额；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）按照规定要求召开基金份额持有人大会或者召集基金份额持有人大会；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）出席或者委派代表出席基金份额持有人大会，对基金份额持有人大会审议事项行使表决权；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）查阅或者复制公开披露的基金信息资料；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）监督基金管理人的投资运作；</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）对基金管理人、基金托管人、基金服务机构损害其合法权益的行为依法提起诉讼或仲裁；</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）法律法规及中国证监会规定的和《基金合同》约定的其他权利。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、根据《基金法》、《运作办法》及其他有关规定，基金份额持有人的义务包括但不限于：</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）认真阅读并遵守《基金合同》、招募说明书等信息披露文件；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）了解所投资基金产品，了解自身风险承受能力，自主判断基金的投资价值，自主做出投资决策，自行承担投资风险；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）关注基金信息披露，及时行使权利和履行义务；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）缴纳基金认购、申购款项及法律法规和《基金合同》所规定的费用；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）在其持有的基金份额范围内，承担基金亏损或者《基金合同》终止的有限责任；</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）不从事任何有损基金及其他《基金合同》当事人合法权益的活动；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）执行生效的基金份额持有人大会的决议；</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）返还在基金交易过程中因任何原因获得的不当得利；</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）法律法规及中国证监会规定的和《基金合同》约定的其他义务。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二、基金份额持有人大会召集、议事及表决的程序和规则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基金份额持有人大会由基金份额持有人组成，基金份额持有人的合法授权代表有权代表基金份额持有人出席会议并表决。基金份额持有人持有的每一基金份额拥有平等的投票权。</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本基金份额持有人大会不设日常机构。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（一）召开事由</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、当出现或需要决定下列事由之一的，应当召开基金份额持有人大会，但法律法规、中国证监会另有规定的除外：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）终止《基金合同》；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）更换基金管理人；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）更换基金托管人；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）转换基金运作方式；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）提高基金管理人、基金托管人的报酬标准；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）变更基金类别；</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）本基金与其他基金的合并；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）变更基金投资目标、范围或策略，法律法规和中国证监会另有规定的除外；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）变更基金份额持有人大会程序；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）基金管理人或基金托管人要求召开基金份额持有人大会；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11</w:t>
      </w:r>
      <w:r w:rsidRPr="00417752">
        <w:rPr>
          <w:rFonts w:ascii="Verdana" w:eastAsia="宋体" w:hAnsi="Verdana" w:cs="宋体"/>
          <w:color w:val="4B4B4B"/>
          <w:kern w:val="0"/>
          <w:szCs w:val="21"/>
        </w:rPr>
        <w:t>）单独或合计持有本基金总份额</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以上（含</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）基金份额的基金份额持有人（以基金管理人收到提议当日的基金份额计算，下同）就同一事项书面要求召开基金份额持有人大会；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）对基金合同当事人权利和义务产生重大影响的其他事项；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13</w:t>
      </w:r>
      <w:r w:rsidRPr="00417752">
        <w:rPr>
          <w:rFonts w:ascii="Verdana" w:eastAsia="宋体" w:hAnsi="Verdana" w:cs="宋体"/>
          <w:color w:val="4B4B4B"/>
          <w:kern w:val="0"/>
          <w:szCs w:val="21"/>
        </w:rPr>
        <w:t>）法律法规、《基金合同》或中国证监会规定的其他应当召开基金份额持有人大会的事项。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、以下情况可由基金管理人和基金托管人协商后修改，不需召开基金份额持有人大会：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）调低基金管理费、基金托管费和其他应由基金承担的费用；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）法律法规要求增加的基金费用的收取；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）在法律法规和《基金合同》规定的范围内调整本基金的申购费率、调低赎回费率或在对现有基金份额持有人利益无实质性不利影响的前提下变更收费方式；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）在不违反法律法规、《基金合同》的规定以及对基金份额持有人利益无实质性不利影响的情况下，调整有关基金认购、申购、赎回、转换、非交易过户、转托管等业务的规则；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）在不违反法律法规、基金合同的约定以及对基金份额持有人利益无实质性不利影响的情况下，增加、减少或调整基金份额类别设置及对基金份额分类办法、规则进行调整；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）因相应的法律法规发生变动而应当对《基金合同》进行修改；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）对《基金合同》的修改对基金份额持有人利益无实质性不利影响或修改不涉及《基金合同》当事人权利义务关系发生重大变化；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）按照法律法规和《基金合同》规定不需召开基金份额持有人大会的其他情形。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（二）会议召集人及召集方式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、除法律法规规定或《基金合同》另有约定外，基金份额持有人大会由基金管理人召集；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、基金管理人未按规定召集或不能召集时，由基金托管人召集；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、基金托管人认为有必要召开基金份额持有人大会的，应当向基金管理人提出书面提议。基金管理人应当自收到书面提议之日起</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日内决定是否召集，并书面告知基金托管人。基金管理人决定召集的，应当自出具书面决定之日起</w:t>
      </w:r>
      <w:r w:rsidRPr="00417752">
        <w:rPr>
          <w:rFonts w:ascii="Verdana" w:eastAsia="宋体" w:hAnsi="Verdana" w:cs="宋体"/>
          <w:color w:val="4B4B4B"/>
          <w:kern w:val="0"/>
          <w:szCs w:val="21"/>
        </w:rPr>
        <w:t>60</w:t>
      </w:r>
      <w:r w:rsidRPr="00417752">
        <w:rPr>
          <w:rFonts w:ascii="Verdana" w:eastAsia="宋体" w:hAnsi="Verdana" w:cs="宋体"/>
          <w:color w:val="4B4B4B"/>
          <w:kern w:val="0"/>
          <w:szCs w:val="21"/>
        </w:rPr>
        <w:t>日内召开；基金管理人决定不召集，基金托管人仍认为有必要召开的，应当由基金托管人自行召集，并自出具书面决定之日起</w:t>
      </w:r>
      <w:r w:rsidRPr="00417752">
        <w:rPr>
          <w:rFonts w:ascii="Verdana" w:eastAsia="宋体" w:hAnsi="Verdana" w:cs="宋体"/>
          <w:color w:val="4B4B4B"/>
          <w:kern w:val="0"/>
          <w:szCs w:val="21"/>
        </w:rPr>
        <w:t>60</w:t>
      </w:r>
      <w:r w:rsidRPr="00417752">
        <w:rPr>
          <w:rFonts w:ascii="Verdana" w:eastAsia="宋体" w:hAnsi="Verdana" w:cs="宋体"/>
          <w:color w:val="4B4B4B"/>
          <w:kern w:val="0"/>
          <w:szCs w:val="21"/>
        </w:rPr>
        <w:t>日内召开并告知基金管理人，基金管理人应当配合。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、代表基金份额</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以上（含</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）的基金份额持有人就同一事项书面要求召开基金份额持有人大会，应当向基金管理人提出书面提议。基金管理人应当自收到书面提议之日起</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日内决定是否召集，并书面告知提出提议的基金份额持有人代表和基金托管人。基金管理人决定召集的，应当自出具书面决定之日起</w:t>
      </w:r>
      <w:r w:rsidRPr="00417752">
        <w:rPr>
          <w:rFonts w:ascii="Verdana" w:eastAsia="宋体" w:hAnsi="Verdana" w:cs="宋体"/>
          <w:color w:val="4B4B4B"/>
          <w:kern w:val="0"/>
          <w:szCs w:val="21"/>
        </w:rPr>
        <w:t>60</w:t>
      </w:r>
      <w:r w:rsidRPr="00417752">
        <w:rPr>
          <w:rFonts w:ascii="Verdana" w:eastAsia="宋体" w:hAnsi="Verdana" w:cs="宋体"/>
          <w:color w:val="4B4B4B"/>
          <w:kern w:val="0"/>
          <w:szCs w:val="21"/>
        </w:rPr>
        <w:t>日内召开；基金管理人决定不召集，代表基金份额</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以上（含</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）的基金份额持有人仍认为有必要召开的，应当向基金托管人提出书面提议。基金托管人应当自收到书面提议之日起</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日内决定是否召集，并书面告知提出提议的基金份额持有人代表和基金管理人；基金托管人决定召集的，应当自出具书面决定之日起</w:t>
      </w:r>
      <w:r w:rsidRPr="00417752">
        <w:rPr>
          <w:rFonts w:ascii="Verdana" w:eastAsia="宋体" w:hAnsi="Verdana" w:cs="宋体"/>
          <w:color w:val="4B4B4B"/>
          <w:kern w:val="0"/>
          <w:szCs w:val="21"/>
        </w:rPr>
        <w:t>60</w:t>
      </w:r>
      <w:r w:rsidRPr="00417752">
        <w:rPr>
          <w:rFonts w:ascii="Verdana" w:eastAsia="宋体" w:hAnsi="Verdana" w:cs="宋体"/>
          <w:color w:val="4B4B4B"/>
          <w:kern w:val="0"/>
          <w:szCs w:val="21"/>
        </w:rPr>
        <w:t>日内召开</w:t>
      </w:r>
      <w:r w:rsidRPr="00417752">
        <w:rPr>
          <w:rFonts w:ascii="Verdana" w:eastAsia="宋体" w:hAnsi="Verdana" w:cs="宋体"/>
          <w:color w:val="4B4B4B"/>
          <w:kern w:val="0"/>
          <w:szCs w:val="21"/>
          <w:u w:val="single"/>
        </w:rPr>
        <w:t>并告知基金管理人，基金管理人应当配合</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、代表基金份额</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以上（含</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）的基金份额持有人就同一事项要求召开基金份额持有人大会，而基金管理人、基金托管人都不召集的，单独或合计代表基金份额</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以上（含</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）的基金份额持有人有权自行召集，并至少提前</w:t>
      </w:r>
      <w:r w:rsidRPr="00417752">
        <w:rPr>
          <w:rFonts w:ascii="Verdana" w:eastAsia="宋体" w:hAnsi="Verdana" w:cs="宋体"/>
          <w:color w:val="4B4B4B"/>
          <w:kern w:val="0"/>
          <w:szCs w:val="21"/>
        </w:rPr>
        <w:t>30</w:t>
      </w:r>
      <w:r w:rsidRPr="00417752">
        <w:rPr>
          <w:rFonts w:ascii="Verdana" w:eastAsia="宋体" w:hAnsi="Verdana" w:cs="宋体"/>
          <w:color w:val="4B4B4B"/>
          <w:kern w:val="0"/>
          <w:szCs w:val="21"/>
        </w:rPr>
        <w:t>日报中国证监会备案。基金份额持有人依法自行召集基金份额持有人大会的，基金管理人、基金托管人应当配合，不得阻碍、干扰。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、基金份额持有人会议的召集人负责选择确定开会时间、地点、方式和权益登记日。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（三）召开基金份额持有人大会的通知时间、通知内容、通知方式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、召开基金份额持有人大会，召集人应于会议召开前</w:t>
      </w:r>
      <w:r w:rsidRPr="00417752">
        <w:rPr>
          <w:rFonts w:ascii="Verdana" w:eastAsia="宋体" w:hAnsi="Verdana" w:cs="宋体"/>
          <w:color w:val="4B4B4B"/>
          <w:kern w:val="0"/>
          <w:szCs w:val="21"/>
        </w:rPr>
        <w:t>30</w:t>
      </w:r>
      <w:r w:rsidRPr="00417752">
        <w:rPr>
          <w:rFonts w:ascii="Verdana" w:eastAsia="宋体" w:hAnsi="Verdana" w:cs="宋体"/>
          <w:color w:val="4B4B4B"/>
          <w:kern w:val="0"/>
          <w:szCs w:val="21"/>
        </w:rPr>
        <w:t>日，在指定媒介公告。基金份额持有人大会通知应至少载明以下内容：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）会议召开的时间、地点和会议形式；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）会议拟审议的事项、议事程序和表决方式；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）有权出席基金份额持有人大会的基金份额持有人的权益登记日；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）授权委托证明的内容要求（包括但不限于代理人身份，代理权限和代理有效期限等）、送达时间和地点；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）会务常设联系人姓名及联系电话；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）出席会议者必须准备的文件和必须履行的手续；</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）召集人需要通知的其他事项。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（四）基金份额持有人出席会议的方式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基金份额持有人大会可通过现场开会方式、通讯开会或法律法规和监管机关允许的其他方式召开，会议的召开方式由会议召集人确定。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个月以后、</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、通讯开会。通讯开会系指基金份额持有人将其对表决事项的投票以召集人通知的非现场方式在表决截至日以前送达至召集人指定的地址或系统。通讯开会应以召集人通知的非现场方式进行表决。</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在同时符合以下条件时，通讯开会的方式视为有效：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）会议召集人按《基金合同》约定公布会议通知后，在</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个工作日内连续公布相关提示性公告；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个月以后、</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个月以内，就原定审议事项重新召集基金份额持有人大会。重新召集的基金份额持有人大会应当有代表三分之一以上（含三分之一）基金份额的持有人直接出具表决意见或授权他人代表出具表决意见；</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）上述第（</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、在不与法律法规冲突的前提下，基金份额持有人授权他人代为出席会议并表决的，授权方式可以采用书面、网络、电话、短信或其他方式，具体方式在会议通知中列明。</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（五）议事内容与程序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、议事内容及提案权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基金份额持有人大会的召集人发出召集会议的通知后，对原有提案的修改应当在基金份额持有人大会召开前及时公告。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基金份额持有人大会不得对未事先公告的议事内容进行表决。</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、议事程序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）现场开会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会议召集人应当制作出席会议人员的签名册。签名册载明参加会议人员姓名（或单位名称）、身份证明文件号码、持有或代表有表决权的基金份额、委托人姓名（或单位名称）和联系方式等事项。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）通讯开会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在通讯开会的情况下，首先由召集人提前</w:t>
      </w:r>
      <w:r w:rsidRPr="00417752">
        <w:rPr>
          <w:rFonts w:ascii="Verdana" w:eastAsia="宋体" w:hAnsi="Verdana" w:cs="宋体"/>
          <w:color w:val="4B4B4B"/>
          <w:kern w:val="0"/>
          <w:szCs w:val="21"/>
        </w:rPr>
        <w:t>30</w:t>
      </w:r>
      <w:r w:rsidRPr="00417752">
        <w:rPr>
          <w:rFonts w:ascii="Verdana" w:eastAsia="宋体" w:hAnsi="Verdana" w:cs="宋体"/>
          <w:color w:val="4B4B4B"/>
          <w:kern w:val="0"/>
          <w:szCs w:val="21"/>
        </w:rPr>
        <w:t>日公布提案，在所通知的表决截止日期后</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个工作日内在公证机关监督下由召集人统计全部有效表决，在公证机关监督下形成决议。</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（六）表决</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基金份额持有人所持每份基金份额有同等表决权。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基金份额持有人大会决议分为一般决议和特别决议：</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、一般决议，一般决议须经参加大会的基金份额持有人或其代理人所持表决权的二分之一以上（含二分之一）通过方为有效；除下列第</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项所规定的须以特别决议通过事项以外的其他事项均以一般决议的方式通过。</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基金份额持有人大会采取记名方式进行投票表决。</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基金份额持有人大会的各项提案或同一项提案内并列的各项议题应当分开审议、逐项表决。</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在上述规则的前提下，具体规则以召集人发布的基金份额持有人大会通知为准。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（七）计票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、现场开会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）监票人应当在基金份额持有人表决后立即进行清点并由大会主持人当场公布计票结果。</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）计票过程应由公证机关予以公证，基金管理人或基金托管人拒不出席大会的，不影响计票的效力。</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、通讯开会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（八）生效与公告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基金份额持有人大会的决议，召集人应当自通过之日起</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日内报中国证监会备案。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基金份额持有人大会的决议自表决通过之日起生效。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基金份额持有人大会决议自生效之日起</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个工作日内在指定媒介上公告。如果采用通讯方式进行表决，在公告基金份额持有人大会决议时，必须将公证书全文、公证机构、公证员姓名等一同公告。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基金管理人、基金托管人和基金份额持有人应当执行生效的基金份额持有人大会的决议。生效的基金份额持有人大会决议对全体基金份额持有人、基金管理人、基金托管人均有约束力。</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三、基金收益分配原则、执行方式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（一）基金利润的构成</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基金利润指基金利息收入、投资收益、公允价值变动收益和其他收入扣除相关费用后的余额，基金已实现收益指基金利润减去公允价值变动收益后的余额。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（二）基金可供分配利润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基金可供分配利润指截至收益分配基准日基金未分配利润与未分配利润中已实现收益的孰低数。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（三）基金收益分配原则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、在符合有关基金分红条件的前提下，本基金每年收益分配次数最多为</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次，每份基金份额每次基金收益分配比例不得低于基金收益分配基准日每份基金份额可供分配利润的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，若《基金合同》生效不满</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个月可不进行收益分配；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、本基金收益分配方式分两种：现金分红与红利再投资，投资人可选择现金红利或将现金红利自动转为基金份额进行再投资；若投资人不选择，本基金默认的收益分配方式是现金分红；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、基金收益分配后基金份额净值不能低于面值；即基金收益分配基准日的基金份额净值减去每单位基金份额收益分配金额后不能低于面值；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、每一基金份额享有同等分配权；</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、法律法规或监管机关另有规定的，从其规定。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在不违反法律法规、基金合同的约定以及对基金份额持有人利益无实质不利影响的前提下，基金管理人可在按照监管部门要求履行适当程序后对基金收益分配原则进行调整，不需召开基金份额持有人大会。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（四）收益分配方案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基金收益分配方案中应载明截止收益分配基准日的可供分配利润、基金收益分配对象、分配时间、分配数额及比例、分配方式等内容。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（五）收益分配方案的确定、公告与实施</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本基金收益分配方案由基金管理人拟定，并由基金托管人复核，在</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个工作日内在指定媒介公告并报中国证监会备案。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基金红利发放日距离收益分配基准日（即可供分配利润计算截止日）的时间不得超过</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个工作日。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（六）基金收益分配中发生的费用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四、与基金财产管理、运作有关费用的提取、支付方式与比例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（一）基金费用的种类</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、基金管理人的管理费；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、基金托管人的托管费；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、《基金合同》生效后与基金相关的信息披露费用；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、《基金合同》生效后与基金相关的，非因基金管理人、基金托管人过错导致的会计师费、律师费、审计费、诉讼费和仲裁费；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、基金份额持有人大会费用；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、基金的证券、期货交易费用；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、基金的银行汇划费用；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、基金相关账户的开户及维护费用；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、按照国家有关规定和《基金合同》约定，可以在基金财产中列支的其他费用。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（二）基金费用计提方法、计提标准和支付方式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、基金管理人的管理费</w:t>
      </w: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本基金的管理费按前一日基金资产净值的</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年费率计提。管理费的计算方法如下：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H</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E×1.5%÷</w:t>
      </w:r>
      <w:r w:rsidRPr="00417752">
        <w:rPr>
          <w:rFonts w:ascii="Verdana" w:eastAsia="宋体" w:hAnsi="Verdana" w:cs="宋体"/>
          <w:color w:val="4B4B4B"/>
          <w:kern w:val="0"/>
          <w:szCs w:val="21"/>
        </w:rPr>
        <w:t>当年天数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H</w:t>
      </w:r>
      <w:r w:rsidRPr="00417752">
        <w:rPr>
          <w:rFonts w:ascii="Verdana" w:eastAsia="宋体" w:hAnsi="Verdana" w:cs="宋体"/>
          <w:color w:val="4B4B4B"/>
          <w:kern w:val="0"/>
          <w:szCs w:val="21"/>
        </w:rPr>
        <w:t>为每日应计提的基金管理费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E</w:t>
      </w:r>
      <w:r w:rsidRPr="00417752">
        <w:rPr>
          <w:rFonts w:ascii="Verdana" w:eastAsia="宋体" w:hAnsi="Verdana" w:cs="宋体"/>
          <w:color w:val="4B4B4B"/>
          <w:kern w:val="0"/>
          <w:szCs w:val="21"/>
        </w:rPr>
        <w:t>为前一日的基金资产净值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基金管理费每日计算，逐日累计至每月月末，按月支付，由基金管理人向基金托管人发送基金管理费划款指令，基金托管人复核后于次月前</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个工作日内从基金财产中一次性支付给基金管理人。若遇法定节假日、公休假等</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支付日期顺延。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、基金托管人的托管费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本基金的托管费按前一日基金资产净值的</w:t>
      </w:r>
      <w:r w:rsidRPr="00417752">
        <w:rPr>
          <w:rFonts w:ascii="Verdana" w:eastAsia="宋体" w:hAnsi="Verdana" w:cs="宋体"/>
          <w:color w:val="4B4B4B"/>
          <w:kern w:val="0"/>
          <w:szCs w:val="21"/>
        </w:rPr>
        <w:t>0.25%</w:t>
      </w:r>
      <w:r w:rsidRPr="00417752">
        <w:rPr>
          <w:rFonts w:ascii="Verdana" w:eastAsia="宋体" w:hAnsi="Verdana" w:cs="宋体"/>
          <w:color w:val="4B4B4B"/>
          <w:kern w:val="0"/>
          <w:szCs w:val="21"/>
        </w:rPr>
        <w:t>的年费率计提。托管费的计算方法如下：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H</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E×0.25%÷</w:t>
      </w:r>
      <w:r w:rsidRPr="00417752">
        <w:rPr>
          <w:rFonts w:ascii="Verdana" w:eastAsia="宋体" w:hAnsi="Verdana" w:cs="宋体"/>
          <w:color w:val="4B4B4B"/>
          <w:kern w:val="0"/>
          <w:szCs w:val="21"/>
        </w:rPr>
        <w:t>当年天数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H</w:t>
      </w:r>
      <w:r w:rsidRPr="00417752">
        <w:rPr>
          <w:rFonts w:ascii="Verdana" w:eastAsia="宋体" w:hAnsi="Verdana" w:cs="宋体"/>
          <w:color w:val="4B4B4B"/>
          <w:kern w:val="0"/>
          <w:szCs w:val="21"/>
        </w:rPr>
        <w:t>为每日应计提的基金托管费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E</w:t>
      </w:r>
      <w:r w:rsidRPr="00417752">
        <w:rPr>
          <w:rFonts w:ascii="Verdana" w:eastAsia="宋体" w:hAnsi="Verdana" w:cs="宋体"/>
          <w:color w:val="4B4B4B"/>
          <w:kern w:val="0"/>
          <w:szCs w:val="21"/>
        </w:rPr>
        <w:t>为前一日的基金资产净值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基金托管费每日计算，逐日累计至每月月末，按月支付，由基金管理人向基金托管人发送基金托管费划款指令，基金托管人复核后于次月前</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个工作日内从基金财产中一次性支取。若遇法定节假日、公休日等</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支付日期顺延。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上述</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一、基金费用的种类中第</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项费用</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，根据有关法规及相应协议规定，按费用实际支出金额列入当期费用，由基金托管人从基金财产中支付。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五、基金财产的投资方向和投资限制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（一）投资方向</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本基金股票投资占基金资产的比例范围为</w:t>
      </w:r>
      <w:r w:rsidRPr="00417752">
        <w:rPr>
          <w:rFonts w:ascii="Verdana" w:eastAsia="宋体" w:hAnsi="Verdana" w:cs="宋体"/>
          <w:color w:val="4B4B4B"/>
          <w:kern w:val="0"/>
          <w:szCs w:val="21"/>
        </w:rPr>
        <w:t>80-95%</w:t>
      </w:r>
      <w:r w:rsidRPr="00417752">
        <w:rPr>
          <w:rFonts w:ascii="Verdana" w:eastAsia="宋体" w:hAnsi="Verdana" w:cs="宋体"/>
          <w:color w:val="4B4B4B"/>
          <w:kern w:val="0"/>
          <w:szCs w:val="21"/>
        </w:rPr>
        <w:t>。本基金每个交易日日终在扣除股指期货合约需缴纳的交易保证金后，应当保持不低于基金资产净值</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的现金或者到期日在一年以内的政府债券。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如法律法规或监管机构以后允许基金投资其他品种，基金管理人在履行适当程序后，可以将其纳入投资范围。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（二）投资限制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、组合限制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基金的投资组合应遵循以下限制：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）本基金股票投资占基金资产的比例范围为</w:t>
      </w:r>
      <w:r w:rsidRPr="00417752">
        <w:rPr>
          <w:rFonts w:ascii="Verdana" w:eastAsia="宋体" w:hAnsi="Verdana" w:cs="宋体"/>
          <w:color w:val="4B4B4B"/>
          <w:kern w:val="0"/>
          <w:szCs w:val="21"/>
        </w:rPr>
        <w:t>80-95%</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）本基金每个交易日日终在扣除股指期货合约需缴纳的交易保证金后，应当保持不低于基金资产净值</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％的现金或者到期日在一年以内的政府债券；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）本基金持有一家公司发行的证券，其市值不超过基金资产净值的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）本基金管理人管理的全部基金持有一家公司发行的证券，不超过该证券的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）本基金持有的全部权证，其市值不得超过基金资产净值的</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）本基金管理人管理的全部基金持有的同一权证，不得超过该权证的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）本基金在任何交易日买入权证的总金额，不得超过上一交易日基金资产净值的</w:t>
      </w:r>
      <w:r w:rsidRPr="00417752">
        <w:rPr>
          <w:rFonts w:ascii="Verdana" w:eastAsia="宋体" w:hAnsi="Verdana" w:cs="宋体"/>
          <w:color w:val="4B4B4B"/>
          <w:kern w:val="0"/>
          <w:szCs w:val="21"/>
        </w:rPr>
        <w:t>0.5</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）本基金投资于同一原始权益人的各类资产支持证券的比例，不得超过基金资产净值的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）本基金持有的全部资产支持证券，其市值不得超过基金资产净值的</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）本基金持有的同一</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指同一信用级别</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资产支持证券的比例，不得超过该资产支持证券规模的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11</w:t>
      </w:r>
      <w:r w:rsidRPr="00417752">
        <w:rPr>
          <w:rFonts w:ascii="Verdana" w:eastAsia="宋体" w:hAnsi="Verdana" w:cs="宋体"/>
          <w:color w:val="4B4B4B"/>
          <w:kern w:val="0"/>
          <w:szCs w:val="21"/>
        </w:rPr>
        <w:t>）本基金管理人管理的全部基金投资于同一原始权益人的各类资产支持证券，不得超过其各类资产支持证券合计规模的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）本基金应投资于信用级别评级为</w:t>
      </w:r>
      <w:r w:rsidRPr="00417752">
        <w:rPr>
          <w:rFonts w:ascii="Verdana" w:eastAsia="宋体" w:hAnsi="Verdana" w:cs="宋体"/>
          <w:color w:val="4B4B4B"/>
          <w:kern w:val="0"/>
          <w:szCs w:val="21"/>
        </w:rPr>
        <w:t>BBB</w:t>
      </w:r>
      <w:r w:rsidRPr="00417752">
        <w:rPr>
          <w:rFonts w:ascii="Verdana" w:eastAsia="宋体" w:hAnsi="Verdana" w:cs="宋体"/>
          <w:color w:val="4B4B4B"/>
          <w:kern w:val="0"/>
          <w:szCs w:val="21"/>
        </w:rPr>
        <w:t>以上</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含</w:t>
      </w:r>
      <w:r w:rsidRPr="00417752">
        <w:rPr>
          <w:rFonts w:ascii="Verdana" w:eastAsia="宋体" w:hAnsi="Verdana" w:cs="宋体"/>
          <w:color w:val="4B4B4B"/>
          <w:kern w:val="0"/>
          <w:szCs w:val="21"/>
        </w:rPr>
        <w:t>BBB)</w:t>
      </w:r>
      <w:r w:rsidRPr="00417752">
        <w:rPr>
          <w:rFonts w:ascii="Verdana" w:eastAsia="宋体" w:hAnsi="Verdana" w:cs="宋体"/>
          <w:color w:val="4B4B4B"/>
          <w:kern w:val="0"/>
          <w:szCs w:val="21"/>
        </w:rPr>
        <w:t>的资产支持证券。基金持有资产支持证券期间，如果其信用等级下降、不再符合投资标准，应在评级报告发布之日起</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个月内予以全部卖出；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13</w:t>
      </w:r>
      <w:r w:rsidRPr="00417752">
        <w:rPr>
          <w:rFonts w:ascii="Verdana" w:eastAsia="宋体" w:hAnsi="Verdana" w:cs="宋体"/>
          <w:color w:val="4B4B4B"/>
          <w:kern w:val="0"/>
          <w:szCs w:val="21"/>
        </w:rPr>
        <w:t>）基金财产参与股票发行申购，本基金所申报的金额不超过本基金的总资产，本基金所申报的股票数量不超过拟发行股票公司本次发行股票的总量；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14</w:t>
      </w:r>
      <w:r w:rsidRPr="00417752">
        <w:rPr>
          <w:rFonts w:ascii="Verdana" w:eastAsia="宋体" w:hAnsi="Verdana" w:cs="宋体"/>
          <w:color w:val="4B4B4B"/>
          <w:kern w:val="0"/>
          <w:szCs w:val="21"/>
        </w:rPr>
        <w:t>）本基金进入全国银行间同业市场进行债券回购的资金余额不得超过基金资产净值的</w:t>
      </w:r>
      <w:r w:rsidRPr="00417752">
        <w:rPr>
          <w:rFonts w:ascii="Verdana" w:eastAsia="宋体" w:hAnsi="Verdana" w:cs="宋体"/>
          <w:color w:val="4B4B4B"/>
          <w:kern w:val="0"/>
          <w:szCs w:val="21"/>
        </w:rPr>
        <w:t>40%</w:t>
      </w:r>
      <w:r w:rsidRPr="00417752">
        <w:rPr>
          <w:rFonts w:ascii="Verdana" w:eastAsia="宋体" w:hAnsi="Verdana" w:cs="宋体"/>
          <w:color w:val="4B4B4B"/>
          <w:kern w:val="0"/>
          <w:szCs w:val="21"/>
        </w:rPr>
        <w:t>，在全国银行间同业市场中的债券回购最长期限为</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年，债券回购到期后不得展期；</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）在任何交易日日终，持有的买入股指期货合约价值，不得超过基金资产净值的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；在任何交易日日终，持有的买入期货合约价值与有价证券市值之和</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不得超过基金资产净值的</w:t>
      </w:r>
      <w:r w:rsidRPr="00417752">
        <w:rPr>
          <w:rFonts w:ascii="Verdana" w:eastAsia="宋体" w:hAnsi="Verdana" w:cs="宋体"/>
          <w:color w:val="4B4B4B"/>
          <w:kern w:val="0"/>
          <w:szCs w:val="21"/>
        </w:rPr>
        <w:t>95%</w:t>
      </w:r>
      <w:r w:rsidRPr="00417752">
        <w:rPr>
          <w:rFonts w:ascii="Verdana" w:eastAsia="宋体" w:hAnsi="Verdana" w:cs="宋体"/>
          <w:color w:val="4B4B4B"/>
          <w:kern w:val="0"/>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；在任何交易日内交易（不包括平仓）的股指期货合约的成交金额不得超过上一交易日基金资产净值的</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；所持有的股票市值和买入、卖出股指期货合约价值，合计（轧差计算）应当符合基金合同关于股票投资比例的有关约定；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16</w:t>
      </w:r>
      <w:r w:rsidRPr="00417752">
        <w:rPr>
          <w:rFonts w:ascii="Verdana" w:eastAsia="宋体" w:hAnsi="Verdana" w:cs="宋体"/>
          <w:color w:val="4B4B4B"/>
          <w:kern w:val="0"/>
          <w:szCs w:val="21"/>
        </w:rPr>
        <w:t>）本基金持有的单只中小企业私募债券，其市值不得超过基金资产净值的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17</w:t>
      </w:r>
      <w:r w:rsidRPr="00417752">
        <w:rPr>
          <w:rFonts w:ascii="Verdana" w:eastAsia="宋体" w:hAnsi="Verdana" w:cs="宋体"/>
          <w:color w:val="4B4B4B"/>
          <w:kern w:val="0"/>
          <w:szCs w:val="21"/>
        </w:rPr>
        <w:t>）本基金总资产不得超过基金净资产的</w:t>
      </w:r>
      <w:r w:rsidRPr="00417752">
        <w:rPr>
          <w:rFonts w:ascii="Verdana" w:eastAsia="宋体" w:hAnsi="Verdana" w:cs="宋体"/>
          <w:color w:val="4B4B4B"/>
          <w:kern w:val="0"/>
          <w:szCs w:val="21"/>
        </w:rPr>
        <w:t>140%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18</w:t>
      </w:r>
      <w:r w:rsidRPr="00417752">
        <w:rPr>
          <w:rFonts w:ascii="Verdana" w:eastAsia="宋体" w:hAnsi="Verdana" w:cs="宋体"/>
          <w:color w:val="4B4B4B"/>
          <w:kern w:val="0"/>
          <w:szCs w:val="21"/>
        </w:rPr>
        <w:t>）法律法规及中国证监会规定的和《基金合同》约定的其他投资限制。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除上述第（</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）项另有约定外，因证券或期货市场波动、上市公司合并、基金规模变动等基金管理人之外的因素致使基金投资比例不符合上述规定投资比例的，基金管理人应当在</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个交易日内进行调整，但中国证监会规定的特殊情形除外。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基金管理人应当自基金合同生效之日起</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法律法规或监管部门取消或调整上述投资组合比例限制，如适用于本基金，基金管理人在履行适当程序后，则本基金投资不再受相关限制，届时无需召开基金份额持有人大会。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、禁止行为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为维护基金份额持有人的合法权益，基金财产不得用于下列投资或者活动：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）承销证券；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）违反规定向他人贷款或者提供担保；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）从事承担无限责任的投资；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）买卖其他基金份额，但是法律法规或中国证监会另有规定的除外；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）向其基金管理人、基金托管人出资；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）从事内幕交易、操纵证券交易价格及其他不正当的证券交易活动；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）法律、行政法规和中国证监会规定禁止的其他活动。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如法律法规或监管部门取消上述限制，如适用于本基金，则本基金投资不再受相关限制。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六、基金资产净值的计算方法和公告方式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《基金合同》生效后，在开始办理基金份额申购或者赎回前，基金管理人应当至少每周公告一次基金资产净值和基金份额净值。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在开始办理基金份额申购或者赎回后，基金管理人应当在每个开放日的次日，通过网站、基金份额发售网点以及其他媒介，披露开放日的基金份额净值和基金份额累计净值。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七、基金合同解除和终止的事由、程序以及基金财产的清算方式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（一）《基金合同》的变更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、关于《基金合同》变更的基金份额持有人大会决议自生效后方可执行，并自决议生效后</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个工作日内在指定媒介公告。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（二）《基金合同》的终止事由</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有下列情形之一的，《基金合同》应当终止：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、基金份额持有人大会决定终止的；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、基金管理人、基金托管人职责终止，在</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个月内没有新基金管理人、新基金托管人承接的；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、《基金合同》约定的其他情形；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、相关法律法规和中国证监会规定的其他情况。</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（三）基金财产的清算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、基金财产清算小组：自出现《基金合同》终止事由之日起</w:t>
      </w:r>
      <w:r w:rsidRPr="00417752">
        <w:rPr>
          <w:rFonts w:ascii="Verdana" w:eastAsia="宋体" w:hAnsi="Verdana" w:cs="宋体"/>
          <w:color w:val="4B4B4B"/>
          <w:kern w:val="0"/>
          <w:szCs w:val="21"/>
        </w:rPr>
        <w:t>30</w:t>
      </w:r>
      <w:r w:rsidRPr="00417752">
        <w:rPr>
          <w:rFonts w:ascii="Verdana" w:eastAsia="宋体" w:hAnsi="Verdana" w:cs="宋体"/>
          <w:color w:val="4B4B4B"/>
          <w:kern w:val="0"/>
          <w:szCs w:val="21"/>
        </w:rPr>
        <w:t>个工作日内成立清算小组，基金管理人组织基金财产清算小组并在中国证监会的监督下进行基金清算。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、基金财产清算小组职责：基金财产清算小组负责基金财产的保管、清理、估价、变现和分配。基金财产清算小组可以依法进行必要的民事活动。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、基金财产清算程序：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）《基金合同》终止情形出现时，由基金财产清算小组统一接管基金；</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）对基金财产和债权债务进行清理和确认；</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）对基金财产进行估值和变现；</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）制作清算报告；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）聘请会计师事务所对清算报告进行外部审计，聘请律师事务所对清算报告出具法律意见书；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）将清算报告报中国证监会备案并公告；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）对基金剩余财产进行分配。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、基金财产清算的期限为</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个月。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（四）清算费用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清算费用是指基金财产清算小组在进行基金清算过程中发生的所有合理费用，清算费用由基金财产清算小组优先从基金财产中支付。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（五）基金财产清算剩余资产的分配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依据基金财产清算的分配方案，将基金财产清算后的全部剩余资产扣除基金财产清算费用、交纳所欠税款并清偿基金债务后，按基金份额持有人持有的基金份额比例进行分配。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（六）基金财产清算的公告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清算过程中的有关重大事项须及时公告；基金财产清算报告经会计师事务所审计并由律师事务所出具法律意见书后报中国证监会备案并公告。基金财产清算公告于基金财产清算报告报中国证监会备案后</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个工作日内由基金财产清算小组进行公告。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（七）基金财产清算账册及文件的保存</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基金财产清算账册及有关文件由基金托管人保存</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年以上。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八、争议解决方式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争议处理期间，基金合同当事人应恪守各自的职责，继续忠实、勤勉、尽责地履行基金合同规定的义务，维护基金份额持有人的合法权益。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《基金合同》受中国法律管辖。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九、基金合同存放地和投资人取得合同的方式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《基金合同》正本一式六份，除上报有关监管机构一式二份外，基金管理人、基金托管人各持有二份，每份具有同等的法律效力。</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《基金合同》可印制成册，供投资人在基金管理人、基金托管人、销售机构的办公场所和营业场所查阅。</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lastRenderedPageBreak/>
        <w:t xml:space="preserve">　　</w:t>
      </w:r>
      <w:bookmarkStart w:id="159" w:name="_Toc360793863"/>
      <w:bookmarkStart w:id="160" w:name="_Toc360794113"/>
      <w:bookmarkStart w:id="161" w:name="_Toc360794421"/>
      <w:bookmarkStart w:id="162" w:name="_Toc360794529"/>
      <w:bookmarkStart w:id="163" w:name="_Toc362455196"/>
      <w:bookmarkStart w:id="164" w:name="_Toc362533468"/>
      <w:bookmarkStart w:id="165" w:name="_Toc416453858"/>
      <w:bookmarkStart w:id="166" w:name="_Toc360793511"/>
      <w:bookmarkEnd w:id="159"/>
      <w:bookmarkEnd w:id="160"/>
      <w:bookmarkEnd w:id="161"/>
      <w:bookmarkEnd w:id="162"/>
      <w:bookmarkEnd w:id="163"/>
      <w:bookmarkEnd w:id="164"/>
      <w:bookmarkEnd w:id="165"/>
      <w:r w:rsidRPr="00417752">
        <w:rPr>
          <w:rFonts w:ascii="Verdana" w:eastAsia="宋体" w:hAnsi="Verdana" w:cs="宋体"/>
          <w:b/>
          <w:bCs/>
          <w:color w:val="4B4B4B"/>
          <w:kern w:val="0"/>
          <w:szCs w:val="21"/>
        </w:rPr>
        <w:t>十九、</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基金托管协议的内容摘要</w:t>
      </w:r>
      <w:bookmarkEnd w:id="166"/>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一、基金托管协议当事人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（一）基金管理人（或简称</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管理人</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名称：南方基金管理有限公司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住所：深圳市福田中心区福华一路六号免税商务大厦塔楼</w:t>
      </w:r>
      <w:r w:rsidRPr="00417752">
        <w:rPr>
          <w:rFonts w:ascii="Verdana" w:eastAsia="宋体" w:hAnsi="Verdana" w:cs="宋体"/>
          <w:color w:val="4B4B4B"/>
          <w:kern w:val="0"/>
          <w:szCs w:val="21"/>
        </w:rPr>
        <w:t>31</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32</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33</w:t>
      </w:r>
      <w:r w:rsidRPr="00417752">
        <w:rPr>
          <w:rFonts w:ascii="Verdana" w:eastAsia="宋体" w:hAnsi="Verdana" w:cs="宋体"/>
          <w:color w:val="4B4B4B"/>
          <w:kern w:val="0"/>
          <w:szCs w:val="21"/>
        </w:rPr>
        <w:t>层整层</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法定代表人</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吴万善</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成立时间：</w:t>
      </w:r>
      <w:r w:rsidRPr="00417752">
        <w:rPr>
          <w:rFonts w:ascii="Verdana" w:eastAsia="宋体" w:hAnsi="Verdana" w:cs="宋体"/>
          <w:color w:val="4B4B4B"/>
          <w:kern w:val="0"/>
          <w:szCs w:val="21"/>
        </w:rPr>
        <w:t>1998</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批准设立机关：中国证券监督管理委员会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批准设立文号：中国证监会证监基金字</w:t>
      </w:r>
      <w:r w:rsidRPr="00417752">
        <w:rPr>
          <w:rFonts w:ascii="Verdana" w:eastAsia="宋体" w:hAnsi="Verdana" w:cs="宋体"/>
          <w:color w:val="4B4B4B"/>
          <w:kern w:val="0"/>
          <w:szCs w:val="21"/>
        </w:rPr>
        <w:t>[1998]4</w:t>
      </w:r>
      <w:r w:rsidRPr="00417752">
        <w:rPr>
          <w:rFonts w:ascii="Verdana" w:eastAsia="宋体" w:hAnsi="Verdana" w:cs="宋体"/>
          <w:color w:val="4B4B4B"/>
          <w:kern w:val="0"/>
          <w:szCs w:val="21"/>
        </w:rPr>
        <w:t>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组织形式：有限责任公司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注册资本：</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亿元人民币</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经营范围：基金募集；基金销售；资产管理以及中国证监会许可的其他业务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存续期间：持续经营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（二）基金托管人（或简称</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托管人</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名称：中国银行股份有限公司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住所：北京市西城区复兴门内大街</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法定代表人：田国立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成立时间：</w:t>
      </w:r>
      <w:r w:rsidRPr="00417752">
        <w:rPr>
          <w:rFonts w:ascii="Verdana" w:eastAsia="宋体" w:hAnsi="Verdana" w:cs="宋体"/>
          <w:color w:val="4B4B4B"/>
          <w:kern w:val="0"/>
          <w:szCs w:val="21"/>
        </w:rPr>
        <w:t>1983</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31</w:t>
      </w:r>
      <w:r w:rsidRPr="00417752">
        <w:rPr>
          <w:rFonts w:ascii="Verdana" w:eastAsia="宋体" w:hAnsi="Verdana" w:cs="宋体"/>
          <w:color w:val="4B4B4B"/>
          <w:kern w:val="0"/>
          <w:szCs w:val="21"/>
        </w:rPr>
        <w:t>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基金托管业务批准文号：中国证监会证监基字【</w:t>
      </w:r>
      <w:r w:rsidRPr="00417752">
        <w:rPr>
          <w:rFonts w:ascii="Verdana" w:eastAsia="宋体" w:hAnsi="Verdana" w:cs="宋体"/>
          <w:color w:val="4B4B4B"/>
          <w:kern w:val="0"/>
          <w:szCs w:val="21"/>
        </w:rPr>
        <w:t>1998</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24</w:t>
      </w:r>
      <w:r w:rsidRPr="00417752">
        <w:rPr>
          <w:rFonts w:ascii="Verdana" w:eastAsia="宋体" w:hAnsi="Verdana" w:cs="宋体"/>
          <w:color w:val="4B4B4B"/>
          <w:kern w:val="0"/>
          <w:szCs w:val="21"/>
        </w:rPr>
        <w:t>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组织形式：股份有限公司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注册资本：人民币贰仟柒佰玖拾壹亿肆仟柒佰贰拾贰万叁仟壹佰玖拾伍元整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经营范围：吸收人民币存款；发放短期、中期和长期贷款；办理结算；办理票据贴现；发行金融债券；代理发行、代理兑付、承销政府债券；买卖政府债券；从事同业拆借；提供信用证服务及担保；代理收付款项及代理保险业务；提供保险箱服务；外汇存款；外汇贷款；外汇汇款；外汇兑换；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地法律许可的一切银行业务；在港澳地区的分行依据当地法令可发行或参与代理发行当地货币；经中国人民银行批准的其他业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存续期间：持续经营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二、基金托管人对基金管理人的业务监督和核查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（一）基金托管人根据有关法律法规的规定及《基金合同》的约定，建立相关的技术系统，对基金管理人的投资运作进行监督。主要包括以下方面：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、对基金的投资范围、投资对象进行监督。</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的投资范围包括国内依法发行上市的股票（包括中小板、创业板及其他经中国证监会核准上市的股票）、债券（包括国债、央行票据、金融债券、企业债券、公司债券、中期票据、短期融资券、超短期融资券、次级债券、政府机构债券、地方政府债券、可交换债券、中小企业私募债券、可转换债券（含分离交易可转债）等）、资产支持证券、债券回购、银行存款（包括协议存款、定期存款及其他银行存款）、货币市场工具、权证、股指期货以及经中国证监会允许基金投资的其他金融工具，但需符合中国证监会的相关规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本基金股票投资占基金资产的比例范围为</w:t>
      </w:r>
      <w:r w:rsidRPr="00417752">
        <w:rPr>
          <w:rFonts w:ascii="Verdana" w:eastAsia="宋体" w:hAnsi="Verdana" w:cs="宋体"/>
          <w:color w:val="4B4B4B"/>
          <w:kern w:val="0"/>
          <w:szCs w:val="21"/>
        </w:rPr>
        <w:t>80-95%</w:t>
      </w:r>
      <w:r w:rsidRPr="00417752">
        <w:rPr>
          <w:rFonts w:ascii="Verdana" w:eastAsia="宋体" w:hAnsi="Verdana" w:cs="宋体"/>
          <w:color w:val="4B4B4B"/>
          <w:kern w:val="0"/>
          <w:szCs w:val="21"/>
        </w:rPr>
        <w:t>。本基金每个交易日日终在扣除股指期货合约需缴纳的交易保证金后，应当保持不低于基金资产净值</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的现金或者到期日在一年以内的政府债券。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如法律法规或监管机构以后允许基金投资其他品种，基金管理人在履行适当程序后，可以将其纳入投资范围。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将拟投资的各投资品种的具体范围提供给基金托管人。基金管理人可以根据实际情况的变化，对各投资品种的具体范围予以更新和调整，并应及时通知基金托管人。基金托管人根据上述投资范围对基金的投资进行监督。</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、对基金投融资比例进行监督：</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）本基金股票投资占基金资产的比例范围为</w:t>
      </w:r>
      <w:r w:rsidRPr="00417752">
        <w:rPr>
          <w:rFonts w:ascii="Verdana" w:eastAsia="宋体" w:hAnsi="Verdana" w:cs="宋体"/>
          <w:color w:val="4B4B4B"/>
          <w:kern w:val="0"/>
          <w:szCs w:val="21"/>
        </w:rPr>
        <w:t>80-95%</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）本基金每个交易日日终在扣除股指期货合约需缴纳的交易保证金后，应当保持不低于基金资产净值</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％的现金或者到期日在一年以内的政府债券；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）本基金持有一家公司发行的证券，其市值不超过基金资产净值的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）本基金管理人管理的全部基金持有一家公司发行的证券，不超过该证券的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）本基金持有的全部权证，其市值不得超过基金资产净值的</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）本基金管理人管理的全部基金持有的同一权证，不得超过该权证的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）本基金在任何交易日买入权证的总金额，不得超过上一交易日基金资产净值的</w:t>
      </w:r>
      <w:r w:rsidRPr="00417752">
        <w:rPr>
          <w:rFonts w:ascii="Verdana" w:eastAsia="宋体" w:hAnsi="Verdana" w:cs="宋体"/>
          <w:color w:val="4B4B4B"/>
          <w:kern w:val="0"/>
          <w:szCs w:val="21"/>
        </w:rPr>
        <w:t>0.5</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）本基金投资于同一原始权益人的各类资产支持证券的比例，不得超过基金资产净值的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9</w:t>
      </w:r>
      <w:r w:rsidRPr="00417752">
        <w:rPr>
          <w:rFonts w:ascii="Verdana" w:eastAsia="宋体" w:hAnsi="Verdana" w:cs="宋体"/>
          <w:color w:val="4B4B4B"/>
          <w:kern w:val="0"/>
          <w:szCs w:val="21"/>
        </w:rPr>
        <w:t>）本基金持有的全部资产支持证券，其市值不得超过基金资产净值的</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）本基金持有的同一</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指同一信用级别</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资产支持证券的比例，不得超过该资产支持证券规模的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11</w:t>
      </w:r>
      <w:r w:rsidRPr="00417752">
        <w:rPr>
          <w:rFonts w:ascii="Verdana" w:eastAsia="宋体" w:hAnsi="Verdana" w:cs="宋体"/>
          <w:color w:val="4B4B4B"/>
          <w:kern w:val="0"/>
          <w:szCs w:val="21"/>
        </w:rPr>
        <w:t>）本基金管理人管理的全部基金投资于同一原始权益人的各类资产支持证券，不得超过其各类资产支持证券合计规模的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）本基金应投资于信用级别评级为</w:t>
      </w:r>
      <w:r w:rsidRPr="00417752">
        <w:rPr>
          <w:rFonts w:ascii="Verdana" w:eastAsia="宋体" w:hAnsi="Verdana" w:cs="宋体"/>
          <w:color w:val="4B4B4B"/>
          <w:kern w:val="0"/>
          <w:szCs w:val="21"/>
        </w:rPr>
        <w:t>BBB</w:t>
      </w:r>
      <w:r w:rsidRPr="00417752">
        <w:rPr>
          <w:rFonts w:ascii="Verdana" w:eastAsia="宋体" w:hAnsi="Verdana" w:cs="宋体"/>
          <w:color w:val="4B4B4B"/>
          <w:kern w:val="0"/>
          <w:szCs w:val="21"/>
        </w:rPr>
        <w:t>以上</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含</w:t>
      </w:r>
      <w:r w:rsidRPr="00417752">
        <w:rPr>
          <w:rFonts w:ascii="Verdana" w:eastAsia="宋体" w:hAnsi="Verdana" w:cs="宋体"/>
          <w:color w:val="4B4B4B"/>
          <w:kern w:val="0"/>
          <w:szCs w:val="21"/>
        </w:rPr>
        <w:t>BBB)</w:t>
      </w:r>
      <w:r w:rsidRPr="00417752">
        <w:rPr>
          <w:rFonts w:ascii="Verdana" w:eastAsia="宋体" w:hAnsi="Verdana" w:cs="宋体"/>
          <w:color w:val="4B4B4B"/>
          <w:kern w:val="0"/>
          <w:szCs w:val="21"/>
        </w:rPr>
        <w:t>的资产支持证券。基金持有资产支持证券期间，如果其信用等级下降、不再符合投资标准，应在评级报告发布之日起</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个月内予以全部卖出；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13</w:t>
      </w:r>
      <w:r w:rsidRPr="00417752">
        <w:rPr>
          <w:rFonts w:ascii="Verdana" w:eastAsia="宋体" w:hAnsi="Verdana" w:cs="宋体"/>
          <w:color w:val="4B4B4B"/>
          <w:kern w:val="0"/>
          <w:szCs w:val="21"/>
        </w:rPr>
        <w:t>）基金财产参与股票发行申购，本基金所申报的金额不超过本基金的总资产，本基金所申报的股票数量不超过拟发行股票公司本次发行股票的总量；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14</w:t>
      </w:r>
      <w:r w:rsidRPr="00417752">
        <w:rPr>
          <w:rFonts w:ascii="Verdana" w:eastAsia="宋体" w:hAnsi="Verdana" w:cs="宋体"/>
          <w:color w:val="4B4B4B"/>
          <w:kern w:val="0"/>
          <w:szCs w:val="21"/>
        </w:rPr>
        <w:t>）本基金进入全国银行间同业市场进行债券回购的资金余额不得超过基金资产净值的</w:t>
      </w:r>
      <w:r w:rsidRPr="00417752">
        <w:rPr>
          <w:rFonts w:ascii="Verdana" w:eastAsia="宋体" w:hAnsi="Verdana" w:cs="宋体"/>
          <w:color w:val="4B4B4B"/>
          <w:kern w:val="0"/>
          <w:szCs w:val="21"/>
        </w:rPr>
        <w:t>40%</w:t>
      </w:r>
      <w:r w:rsidRPr="00417752">
        <w:rPr>
          <w:rFonts w:ascii="Verdana" w:eastAsia="宋体" w:hAnsi="Verdana" w:cs="宋体"/>
          <w:color w:val="4B4B4B"/>
          <w:kern w:val="0"/>
          <w:szCs w:val="21"/>
        </w:rPr>
        <w:t>，在全国银行间同业市场中的债券回购最长期限为</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年，债券回购到期后不得展期；</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）在任何交易日日终，持有的买入股指期货合约价值，不得超过基金资产净值的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；在任何交易日日终，持有的买入期货合约价值与有价证券市值之和</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不得超过基金资产净值的</w:t>
      </w:r>
      <w:r w:rsidRPr="00417752">
        <w:rPr>
          <w:rFonts w:ascii="Verdana" w:eastAsia="宋体" w:hAnsi="Verdana" w:cs="宋体"/>
          <w:color w:val="4B4B4B"/>
          <w:kern w:val="0"/>
          <w:szCs w:val="21"/>
        </w:rPr>
        <w:t>95%</w:t>
      </w:r>
      <w:r w:rsidRPr="00417752">
        <w:rPr>
          <w:rFonts w:ascii="Verdana" w:eastAsia="宋体" w:hAnsi="Verdana" w:cs="宋体"/>
          <w:color w:val="4B4B4B"/>
          <w:kern w:val="0"/>
          <w:szCs w:val="21"/>
        </w:rPr>
        <w:t>，其中，有价证券指股票、债券（不含到期日在一年以内的政府债券）、权证、资产支持证券、买入返售金融资产（不含质押式回购）等；在任何交易日日终，持有的卖出期货合约价值不得超过基金持有的股票总市值的</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；在任何交易日内交易（不包括平仓）的股指期货合约的成交金额不得超过上一交易日基金资产净值的</w:t>
      </w:r>
      <w:r w:rsidRPr="00417752">
        <w:rPr>
          <w:rFonts w:ascii="Verdana" w:eastAsia="宋体" w:hAnsi="Verdana" w:cs="宋体"/>
          <w:color w:val="4B4B4B"/>
          <w:kern w:val="0"/>
          <w:szCs w:val="21"/>
        </w:rPr>
        <w:t>20%</w:t>
      </w:r>
      <w:r w:rsidRPr="00417752">
        <w:rPr>
          <w:rFonts w:ascii="Verdana" w:eastAsia="宋体" w:hAnsi="Verdana" w:cs="宋体"/>
          <w:color w:val="4B4B4B"/>
          <w:kern w:val="0"/>
          <w:szCs w:val="21"/>
        </w:rPr>
        <w:t>；所持有的股票市值和买入、卖出股指期货合约价值，合计（轧差计算）应当符合基金合同关于股票投资比例的有关约定；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16</w:t>
      </w:r>
      <w:r w:rsidRPr="00417752">
        <w:rPr>
          <w:rFonts w:ascii="Verdana" w:eastAsia="宋体" w:hAnsi="Verdana" w:cs="宋体"/>
          <w:color w:val="4B4B4B"/>
          <w:kern w:val="0"/>
          <w:szCs w:val="21"/>
        </w:rPr>
        <w:t>）本基金持有的单只中小企业私募债券，其市值不得超过基金资产净值的</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17</w:t>
      </w:r>
      <w:r w:rsidRPr="00417752">
        <w:rPr>
          <w:rFonts w:ascii="Verdana" w:eastAsia="宋体" w:hAnsi="Verdana" w:cs="宋体"/>
          <w:color w:val="4B4B4B"/>
          <w:kern w:val="0"/>
          <w:szCs w:val="21"/>
        </w:rPr>
        <w:t>）本基金总资产不得超过基金净资产的</w:t>
      </w:r>
      <w:r w:rsidRPr="00417752">
        <w:rPr>
          <w:rFonts w:ascii="Verdana" w:eastAsia="宋体" w:hAnsi="Verdana" w:cs="宋体"/>
          <w:color w:val="4B4B4B"/>
          <w:kern w:val="0"/>
          <w:szCs w:val="21"/>
        </w:rPr>
        <w:t>140%</w:t>
      </w:r>
      <w:r w:rsidRPr="00417752">
        <w:rPr>
          <w:rFonts w:ascii="Verdana" w:eastAsia="宋体" w:hAnsi="Verdana" w:cs="宋体"/>
          <w:color w:val="4B4B4B"/>
          <w:kern w:val="0"/>
          <w:szCs w:val="21"/>
        </w:rPr>
        <w:t>；</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18</w:t>
      </w:r>
      <w:r w:rsidRPr="00417752">
        <w:rPr>
          <w:rFonts w:ascii="Verdana" w:eastAsia="宋体" w:hAnsi="Verdana" w:cs="宋体"/>
          <w:color w:val="4B4B4B"/>
          <w:kern w:val="0"/>
          <w:szCs w:val="21"/>
        </w:rPr>
        <w:t>）法律法规及中国证监会规定的和《基金合同》约定的其他投资限制。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除上述第（</w:t>
      </w:r>
      <w:r w:rsidRPr="00417752">
        <w:rPr>
          <w:rFonts w:ascii="Verdana" w:eastAsia="宋体" w:hAnsi="Verdana" w:cs="宋体"/>
          <w:color w:val="4B4B4B"/>
          <w:kern w:val="0"/>
          <w:szCs w:val="21"/>
        </w:rPr>
        <w:t>12</w:t>
      </w:r>
      <w:r w:rsidRPr="00417752">
        <w:rPr>
          <w:rFonts w:ascii="Verdana" w:eastAsia="宋体" w:hAnsi="Verdana" w:cs="宋体"/>
          <w:color w:val="4B4B4B"/>
          <w:kern w:val="0"/>
          <w:szCs w:val="21"/>
        </w:rPr>
        <w:t>）项另有约定外，因证券或期货市场波动、上市公司合并、基金规模变动等基金管理人之外的因素致使基金投资比例不符合上述规定投资比例的，基金管理人应当在</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个交易日内进行调整，但中国证监会规定的特殊情形除外。</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基金管理人应当自基金合同生效之日起</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个月内使基金的投资组合比例符合基金合同的有关约定。在上述期间内，本基金的投资范围、投资策略应当符合基金合同的约定。基金托管人对基金的投资的监督与检查自本基金合同生效之日起开始。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法律法规或监管部门取消或调整上述投资组合比例限制，如适用于本基金，基金管理人在履行适当程序后，则本基金投资不再受相关限制，届时无需召开基金份额持有人大会。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托管人应根据有关法律法规的规定、基金合同的约定及本协议的约定，对基金资产净值计算、基金份额净值计算、应收资金到账、基金费用开支及收入确定、基金收益分配、相关信息披露、基金宣传推介材料中登载基金业绩表现数据等进行复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（三）基金托管人在上述第（一）、（二）款的监督和核查中发现基金管理人违反法律法规的规定及本协议的约定，应及时</w:t>
      </w:r>
      <w:bookmarkStart w:id="167" w:name="OLE_LINK20"/>
      <w:r w:rsidRPr="00417752">
        <w:rPr>
          <w:rFonts w:ascii="Verdana" w:eastAsia="宋体" w:hAnsi="Verdana" w:cs="宋体"/>
          <w:color w:val="4B4B4B"/>
          <w:kern w:val="0"/>
          <w:szCs w:val="21"/>
        </w:rPr>
        <w:t>提示</w:t>
      </w:r>
      <w:bookmarkEnd w:id="167"/>
      <w:r w:rsidRPr="00417752">
        <w:rPr>
          <w:rFonts w:ascii="Verdana" w:eastAsia="宋体" w:hAnsi="Verdana" w:cs="宋体"/>
          <w:color w:val="4B4B4B"/>
          <w:kern w:val="0"/>
          <w:szCs w:val="21"/>
        </w:rPr>
        <w:t>基金管理人限期纠正，基金管理人收到提示后应及时核对确认并以书面形式对基金托管人发出回函并改正。在限期内，基金托管人有权随时对提示事项进行复查。基金管理人对基金托管人提示的违规事项未能在限期内纠正的，基金托管人应及时向中国证监会报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（四）基金托管人发现基金管理人的投资指令违反法律法规</w:t>
      </w:r>
      <w:bookmarkStart w:id="168" w:name="OLE_LINK21"/>
      <w:r w:rsidRPr="00417752">
        <w:rPr>
          <w:rFonts w:ascii="Verdana" w:eastAsia="宋体" w:hAnsi="Verdana" w:cs="宋体"/>
          <w:color w:val="4B4B4B"/>
          <w:kern w:val="0"/>
          <w:szCs w:val="21"/>
        </w:rPr>
        <w:t>或本协议</w:t>
      </w:r>
      <w:bookmarkEnd w:id="168"/>
      <w:r w:rsidRPr="00417752">
        <w:rPr>
          <w:rFonts w:ascii="Verdana" w:eastAsia="宋体" w:hAnsi="Verdana" w:cs="宋体"/>
          <w:color w:val="4B4B4B"/>
          <w:kern w:val="0"/>
          <w:szCs w:val="21"/>
        </w:rPr>
        <w:t>的规定，应当拒绝执行，及时提示基金管理人，并依照法律法规的规定及时向中国证监会报告。基金托管人发现基金管理人依据交易程序已经生效的指令违反法律法规或本协议规定的，应当及时提示基金管理人，并依照法律法规的规定及时向中国证监会报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五）基金管理人应积极配合和协助基金托管人的监督和核查，包括但不限于：在规定时间内答复基金托管人并改正，就基金托管人的疑义进行解释或举证，对基金托管人按照法规要求需向中国证监会报送基金监督报告的，基金管理人应积极配合提供相关数据资料和制度等。</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三、基金管理人对基金托管人的业务核查</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在本协议的有效期内，在不违反公平、合理原则以及不妨碍基金托管人遵守相关法律法规及其行业监管要求的基础上，基金管理人有权对基金托管人履行本协议的情况进行必要的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二）基金管理人发现基金托管人擅自挪用基金财产、未对基金财产实行分账管理、无正当理由未执行或延迟执行基金管理人资金划拨指令、泄露基金投资信息等违反法律法规及本协议有关规定时，应及时以书面形式通知基金托管人限期纠正，基金托管人收到通知后应及时核对并及时回复基金管理人。在限期内，基金管理人有权随时对通知事项进行复查，督促基金托管人改正。基金托管人对基金管理人通知的违规事项未能在限期内纠正的，基金管理人应依照法律法规的规定报告中国证监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（三）基金托管人应积极配合基金管理人的核查行为，包括但不限于：提交相关资料以供基金管理人核查托管财产的完整性和真实性，在规定时间内答复基金管理人并改正。</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四、基金财产保管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（一）基金财产保管的原则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、基金财产应独立于基金管理人、基金托管人的固有财产。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、基金托管人应安全保管基金财产，未经基金管理人的合法合规指令或法律法规、《基金合同》及本协议另有规定，不得自行运用、处分、分配基金的任何财产。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、基金托管人按照规定开设基金财产的资金账户和证券账户。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、基金托管人对所托管的不同基金财产分别设置账户，确保基金财产的完整与独立。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、除依据《基金法》、《运作办法》、《基金合同》及其他有关法律法规规定外，基金托管人不得委托第三人托管基金财产。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（二）基金合同生效前募集资金的验资和入账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募集期满或基金管理人宣布停止募集时，募集的基金份额总额、基金募集金额、基金份额持有人人数符合《基金法》、《运作办法》等有关规定的，由基金管理人在法定期限内聘请具有从事相关业务资格的会计师事务所对基金进行验资，并出具验资报告，出具的验资报告应由参加验资的</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名以上（含</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名）中国注册会计师签字方为有效。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、基金管理人应将属于本基金财产的全部资金划入在基金托管人处为本基金开立的基金银行账户中，并确保划入的资金与验资确认金额相一致。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（三）基金的银行账户的开设和管理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、基金托管人应负责本基金的银行账户的开设和管理。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托管人以本基金的名义开设本基金的银行账户。本基金的银行预留印鉴由基金托管人保管和使用。本基金的一切货币收支活动，包括但不限于投资、支付赎回金额、支付基金收益、收取申购款，均需通过本基金的银行账户进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、本基金银行账户的开立和使用，限于满足开展本基金业务的需要。基金托管人和基金管理人不得假借本基金的名义开立其他任何银行账户；亦不得使用本基金的银行账户进行本基金业务以外的活动。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、基金银行账户的管理应符合法律法规的有关规定。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（四）基金进行定期存款投资的账户开设和管理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以基金名义在基金托管人认可的存款银行的指定营业网点开立存款账户，基金托管人负责该账户的日常管理以及银行预留印鉴的保管和使用。在上述账户开立和账户相关信息变更过程中，基金管理人应提前向基金托管人提供开户或账户变更所需的相关资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（五）基金证券账户、结算备付金账户及其他投资账户的开设和管理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、基金托管人应当代表本基金，以基金托管人和本基金联名的方式在中国证券登记结算有限责任公司开设证券账户。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、本基金证券账户的开立和使用，限于满足开展本基金业务的需要。基金托管人和基金管理人不得出借或转让本基金的证券账户，亦不得使用本基金的证券账户进行本基金业务以外的活动。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托管人以自身法人名义在中国证券登记结算有限责任公司开立结算备付金账户，用于办理基金托管人所托管的包括本基金在内的全部基金在证券交易所进行证券投资所涉及的资金结算业务。结算备付金的收取按照中国证券登记结算有限责任公司的规定执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、在本托管协议生效日之后，本基金被允许从事其他投资品种的投资业务的，涉及相关账户的开设、使用的，若无相关规定，则基金托管人应当比照并遵守上述关于账户开设、使用的规定。</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（六）债券托管专户的开设和管理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账户，并代表基</w:t>
      </w:r>
      <w:r w:rsidRPr="00417752">
        <w:rPr>
          <w:rFonts w:ascii="Verdana" w:eastAsia="宋体" w:hAnsi="Verdana" w:cs="宋体"/>
          <w:color w:val="4B4B4B"/>
          <w:kern w:val="0"/>
          <w:szCs w:val="21"/>
        </w:rPr>
        <w:lastRenderedPageBreak/>
        <w:t>金进行银行间债券市场债券和资金的清算。在上述手续办理完毕之后，由基金托管人负责向中国人民银行报备。</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（七）基金财产投资的有关有价凭证的保管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基金财产投资的实物证券、银行定期存款存单等有价凭证由基金托管人负责妥善保管。基金托管人对其以外机构实际有效控制的有价凭证不承担责任。</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（八）与基金财产有关的重大合同及有关凭证的保管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基金托管人按照法律法规保管由基金管理人代表基金签署的与基金有关的重大合同及有关凭证。基金管理人代表基金签署有关重大合同后应在收到合同正本后</w:t>
      </w:r>
      <w:r w:rsidRPr="00417752">
        <w:rPr>
          <w:rFonts w:ascii="Verdana" w:eastAsia="宋体" w:hAnsi="Verdana" w:cs="宋体"/>
          <w:color w:val="4B4B4B"/>
          <w:kern w:val="0"/>
          <w:szCs w:val="21"/>
        </w:rPr>
        <w:t>30</w:t>
      </w:r>
      <w:r w:rsidRPr="00417752">
        <w:rPr>
          <w:rFonts w:ascii="Verdana" w:eastAsia="宋体" w:hAnsi="Verdana" w:cs="宋体"/>
          <w:color w:val="4B4B4B"/>
          <w:kern w:val="0"/>
          <w:szCs w:val="21"/>
        </w:rPr>
        <w:t>日内将一份正本的原件提交给基金托管人。除本协议另有规定外，基金管理人在代表基金签署与基金有关的重大合同时应保证基金一方持有两份以上的正本，以便基金管理人和基金托管人至少各持有一份正本的原件。重大合同由基金管理人与基金托管人按规定各自保管至少</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五、基金资产净值计算和会计核算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（一）基金资产净值的计算和复核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、基金资产净值是指基金资产总值减去负债后的价值。基金份额净值是指计算日基金资产净值除以计算日该基金份额总数后的价值。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管理人应于每个交易日对基金财产估值。估值原则应符合《基金合同》、《证券投资基金会计核算业务指引》及其他法律法规的规定。用于基金信息披露的基金资产净值和基金份额净值由基金管理人负责计算，基金托管人复核。基金管理人应于每个交易日结束后计算得出当日的该基金份额净值，并在盖章后以双方约定的方式发送给基金托管人。基金托管人应对净值计算结果进行复核，并以双方约定的方式将复核结果传送给基金管理人，由基金管理人对外公布。月末、年中和年末估值复核与基金会计账目的核对同时进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、当相关法律法规或《基金合同》规定的估值方法不能客观反映基金财产公允价值时，基金管理人可根据具体情况，并与基金托管人商定后，按最能反映公允价值的价格估值。</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、基金管理人、基金托管人发现基金估值违反《基金合同》订明的估值方法、程序以及相关法律法规的规定或者未能充分维护基金份额持有人利益时，双方应及时进行协商和纠正。</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当基金资产的估值导致基金份额净值小数点后三位内发生差错时，视为基金份额净值估值错误。当基金份额净值出现错误时，基金管理人应当立即予以纠正，并采取合理的措施防止损失进一步扩大；当计价错误达到基金份额净值的</w:t>
      </w:r>
      <w:r w:rsidRPr="00417752">
        <w:rPr>
          <w:rFonts w:ascii="Verdana" w:eastAsia="宋体" w:hAnsi="Verdana" w:cs="宋体"/>
          <w:color w:val="4B4B4B"/>
          <w:kern w:val="0"/>
          <w:szCs w:val="21"/>
        </w:rPr>
        <w:t>0.25%</w:t>
      </w:r>
      <w:r w:rsidRPr="00417752">
        <w:rPr>
          <w:rFonts w:ascii="Verdana" w:eastAsia="宋体" w:hAnsi="Verdana" w:cs="宋体"/>
          <w:color w:val="4B4B4B"/>
          <w:kern w:val="0"/>
          <w:szCs w:val="21"/>
        </w:rPr>
        <w:t>时，基金管理人应当报中</w:t>
      </w:r>
      <w:r w:rsidRPr="00417752">
        <w:rPr>
          <w:rFonts w:ascii="Verdana" w:eastAsia="宋体" w:hAnsi="Verdana" w:cs="宋体"/>
          <w:color w:val="4B4B4B"/>
          <w:kern w:val="0"/>
          <w:szCs w:val="21"/>
        </w:rPr>
        <w:lastRenderedPageBreak/>
        <w:t>国证监会备案；当计价错误达到基金份额净值的</w:t>
      </w:r>
      <w:r w:rsidRPr="00417752">
        <w:rPr>
          <w:rFonts w:ascii="Verdana" w:eastAsia="宋体" w:hAnsi="Verdana" w:cs="宋体"/>
          <w:color w:val="4B4B4B"/>
          <w:kern w:val="0"/>
          <w:szCs w:val="21"/>
        </w:rPr>
        <w:t>0.5%</w:t>
      </w:r>
      <w:r w:rsidRPr="00417752">
        <w:rPr>
          <w:rFonts w:ascii="Verdana" w:eastAsia="宋体" w:hAnsi="Verdana" w:cs="宋体"/>
          <w:color w:val="4B4B4B"/>
          <w:kern w:val="0"/>
          <w:szCs w:val="21"/>
        </w:rPr>
        <w:t>时，基金管理人应当在报中国证监会备案的同时并及时进行公告。如法律法规或监管机关对前述内容另有规定的，按其规定处理。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由于基金管理人对外公布的任何基金净值数据错误，导致该基金财产或基金份额持有人的实际损失，基金管理人应对此承担责任。若基金托管人计算的净值数据正确，则基金托管人对该损失不承担责任；若基金托管人计算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7</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、如果基金托管人的复核结果与基金管理人的计算结果存在差异，且双方经协商未能达成一致，基金管理人可以按照其对基金份额净值的计算结果对外予以公布，基金托管人可以将相关情况报中国证监会备案。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（二）基金会计核算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、基金账册的建立</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和基金托管人在《基金合同》生效后，应按照双方约定的同一记账方法和会计处理原则，分别独立地设置、登记和保管基金的全套账册，对双方各自的账册定期进行核对，互相监督，以保证基金财产的安全。若双方对会计处理方法存在分歧，应以基金管理人的处理方法为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、会计数据和财务指标的核对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基金管理人和基金托管人应定期就会计数据和财务指标进行核对。如发现存在不符，双方应及时查明原因并纠正。</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、基金财务报表和定期报告的编制和复核</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基金财务报表由基金管理人和基金托管人每月分别独立编制。月度报表的编制，应于每月终了后</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个工作日内完成；招募说明书在《基金合同》生效后每六个月更新并公告一次，于该等期间届满后</w:t>
      </w:r>
      <w:r w:rsidRPr="00417752">
        <w:rPr>
          <w:rFonts w:ascii="Verdana" w:eastAsia="宋体" w:hAnsi="Verdana" w:cs="宋体"/>
          <w:color w:val="4B4B4B"/>
          <w:kern w:val="0"/>
          <w:szCs w:val="21"/>
        </w:rPr>
        <w:t>45</w:t>
      </w:r>
      <w:r w:rsidRPr="00417752">
        <w:rPr>
          <w:rFonts w:ascii="Verdana" w:eastAsia="宋体" w:hAnsi="Verdana" w:cs="宋体"/>
          <w:color w:val="4B4B4B"/>
          <w:kern w:val="0"/>
          <w:szCs w:val="21"/>
        </w:rPr>
        <w:t>日内公告。季度报告应在每个季度结束之日起</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个工作日内编制完毕并于每个季度结束之日起</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个工作日内予以公告；半年度报告在会计年度半年终了后</w:t>
      </w:r>
      <w:r w:rsidRPr="00417752">
        <w:rPr>
          <w:rFonts w:ascii="Verdana" w:eastAsia="宋体" w:hAnsi="Verdana" w:cs="宋体"/>
          <w:color w:val="4B4B4B"/>
          <w:kern w:val="0"/>
          <w:szCs w:val="21"/>
        </w:rPr>
        <w:t>40</w:t>
      </w:r>
      <w:r w:rsidRPr="00417752">
        <w:rPr>
          <w:rFonts w:ascii="Verdana" w:eastAsia="宋体" w:hAnsi="Verdana" w:cs="宋体"/>
          <w:color w:val="4B4B4B"/>
          <w:kern w:val="0"/>
          <w:szCs w:val="21"/>
        </w:rPr>
        <w:t>日内编制完毕并于会计年度半年终了后</w:t>
      </w:r>
      <w:r w:rsidRPr="00417752">
        <w:rPr>
          <w:rFonts w:ascii="Verdana" w:eastAsia="宋体" w:hAnsi="Verdana" w:cs="宋体"/>
          <w:color w:val="4B4B4B"/>
          <w:kern w:val="0"/>
          <w:szCs w:val="21"/>
        </w:rPr>
        <w:t>60</w:t>
      </w:r>
      <w:r w:rsidRPr="00417752">
        <w:rPr>
          <w:rFonts w:ascii="Verdana" w:eastAsia="宋体" w:hAnsi="Verdana" w:cs="宋体"/>
          <w:color w:val="4B4B4B"/>
          <w:kern w:val="0"/>
          <w:szCs w:val="21"/>
        </w:rPr>
        <w:t>日内予以公告；年度报告在会计年度结束后</w:t>
      </w:r>
      <w:r w:rsidRPr="00417752">
        <w:rPr>
          <w:rFonts w:ascii="Verdana" w:eastAsia="宋体" w:hAnsi="Verdana" w:cs="宋体"/>
          <w:color w:val="4B4B4B"/>
          <w:kern w:val="0"/>
          <w:szCs w:val="21"/>
        </w:rPr>
        <w:t>60</w:t>
      </w:r>
      <w:r w:rsidRPr="00417752">
        <w:rPr>
          <w:rFonts w:ascii="Verdana" w:eastAsia="宋体" w:hAnsi="Verdana" w:cs="宋体"/>
          <w:color w:val="4B4B4B"/>
          <w:kern w:val="0"/>
          <w:szCs w:val="21"/>
        </w:rPr>
        <w:t>日内编制完毕并于会计年度终了后</w:t>
      </w:r>
      <w:r w:rsidRPr="00417752">
        <w:rPr>
          <w:rFonts w:ascii="Verdana" w:eastAsia="宋体" w:hAnsi="Verdana" w:cs="宋体"/>
          <w:color w:val="4B4B4B"/>
          <w:kern w:val="0"/>
          <w:szCs w:val="21"/>
        </w:rPr>
        <w:t>90</w:t>
      </w:r>
      <w:r w:rsidRPr="00417752">
        <w:rPr>
          <w:rFonts w:ascii="Verdana" w:eastAsia="宋体" w:hAnsi="Verdana" w:cs="宋体"/>
          <w:color w:val="4B4B4B"/>
          <w:kern w:val="0"/>
          <w:szCs w:val="21"/>
        </w:rPr>
        <w:t>日内予以公告。基金合同生效不足两个月的，基金管理人可以不编制当期季度报告、半年度报告或者年度报告。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基金管理人在月度报表完成当日，将报表盖章后提供给基金托管人复核；基金托管人在收到后应</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个工作日内进行复核，并将复核结果书面通知基金管理人。基金管理人在季度报告完成当日，将有关报告提供给基金托管人复核，基金托管人应在收到后</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个工作日内完成复核，并将复核结果书面通知基金管理人。基金管理人在半年度报告完成当日，将有关报告提供给基金托管人复核，基金托管人应在收到后</w:t>
      </w:r>
      <w:r w:rsidRPr="00417752">
        <w:rPr>
          <w:rFonts w:ascii="Verdana" w:eastAsia="宋体" w:hAnsi="Verdana" w:cs="宋体"/>
          <w:color w:val="4B4B4B"/>
          <w:kern w:val="0"/>
          <w:szCs w:val="21"/>
        </w:rPr>
        <w:t>10</w:t>
      </w:r>
      <w:r w:rsidRPr="00417752">
        <w:rPr>
          <w:rFonts w:ascii="Verdana" w:eastAsia="宋体" w:hAnsi="Verdana" w:cs="宋体"/>
          <w:color w:val="4B4B4B"/>
          <w:kern w:val="0"/>
          <w:szCs w:val="21"/>
        </w:rPr>
        <w:t>个工作日内完成复核，并将复核结果书面通知基金管理人。基金管理人在年度报告完成当日，将有关报告提供基金托管人复核，基金托管人应在收到后</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个工作日内完成复核，并将复核结果书面通知基金管理人。基金管理人和基金托管人之间的上述文件往来均以加密传真的方式或双方商定的其他方式进行。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部门公章的复核意见书，双方各自留存一份。如果基金管理人与基金托管人不能于应当发布公告之日之前就相关报表达成一致，基金管理人有权按照其编制的报表对外发布公告，基金托管人有权就相关情况报证监会备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六、基金份额持有人名册的保管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（一）基金份额持有人名册的内容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基金份额持有人名册的内容包括但不限于基金份额持有人的名称和持有的基金份额。</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基金份额持有人名册包括以下几类：</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、基金募集期结束时的基金份额持有人名册；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、基金权益登记日的基金份额持有人名册；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、基金份额持有人大会登记日的基金份额持有人名册；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、每半年度最后一个交易日的基金份额持有人名册。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（二）基金份额持有人名册的提供</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对于每半年度最后一个交易日的基金份额持有人名册，基金管理人应在每半年度结束后</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个工作日内定期向基金托管人提供。对于基金募集期结束时的基金份额持有人名册、基金权益登记日的基金份额持有人名册以及基金份额持有人大会登记日的基金份额持有人名册，基金管理人应在相关的名册生成后</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个工作日内向基金托管人提供。</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（三）基金份额持有人名册的保管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基金托管人应妥善保管基金份额持有人名册。如基金托管人无法妥善保存持有人名册，基金管理人应及时向中国证监会报告，并代为履行保管基金份额持有人名册的职责。基金托管人应对基金管理人由此产生的保管费给予补偿。</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七、争议解决方式</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争议处理期间，双方当事人应恪守基金管理人和基金托管人职责，各自继续忠实、勤勉、尽责地履行基金合同和本托管协议规定的义务，维护基金份额持有人的合法权益。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本协议适用中华人民共和国法律并从其解释。</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八、托管协议的变更和终止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（一）托管协议的变更</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本协议双方当事人经协商一致，可以对协议进行变更。变更后的新协议，其内容不得与《基金合同》的规定有任何冲突。变更后的新协议应当报中国证监会备案。</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（二）托管协议的终止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发生以下情况，本托管协议应当终止：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、《基金合同》终止；</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、本基金更换基金托管人；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、本基金更换基金管理人；</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、发生《基金法》、《运作办法》或其他法律法规规定的终止事项。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（三）基金财产的清算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基金管理人和基金托管人应按照《基金合同》及有关法律法规的规定对本基金的财产进行清算。</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b/>
          <w:bCs/>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169" w:name="_Toc360793864"/>
      <w:bookmarkStart w:id="170" w:name="_Toc360794114"/>
      <w:bookmarkStart w:id="171" w:name="_Toc360794422"/>
      <w:bookmarkStart w:id="172" w:name="_Toc360794530"/>
      <w:bookmarkStart w:id="173" w:name="_Toc362455197"/>
      <w:bookmarkStart w:id="174" w:name="_Toc362533469"/>
      <w:bookmarkStart w:id="175" w:name="_Toc416453859"/>
      <w:bookmarkStart w:id="176" w:name="_Toc360793512"/>
      <w:bookmarkEnd w:id="169"/>
      <w:bookmarkEnd w:id="170"/>
      <w:bookmarkEnd w:id="171"/>
      <w:bookmarkEnd w:id="172"/>
      <w:bookmarkEnd w:id="173"/>
      <w:bookmarkEnd w:id="174"/>
      <w:bookmarkEnd w:id="175"/>
      <w:r w:rsidRPr="00417752">
        <w:rPr>
          <w:rFonts w:ascii="Verdana" w:eastAsia="宋体" w:hAnsi="Verdana" w:cs="宋体"/>
          <w:b/>
          <w:bCs/>
          <w:color w:val="4B4B4B"/>
          <w:kern w:val="0"/>
          <w:szCs w:val="21"/>
        </w:rPr>
        <w:t>二十、</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基金份额持有人服务</w:t>
      </w:r>
      <w:bookmarkEnd w:id="176"/>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一、基金份额持有人交易资料的寄送及发送服务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、交易确认单</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每次交易结束后，投资人可在</w:t>
      </w:r>
      <w:r w:rsidRPr="00417752">
        <w:rPr>
          <w:rFonts w:ascii="Verdana" w:eastAsia="宋体" w:hAnsi="Verdana" w:cs="宋体"/>
          <w:color w:val="4B4B4B"/>
          <w:kern w:val="0"/>
          <w:szCs w:val="21"/>
        </w:rPr>
        <w:t>T+2</w:t>
      </w:r>
      <w:r w:rsidRPr="00417752">
        <w:rPr>
          <w:rFonts w:ascii="Verdana" w:eastAsia="宋体" w:hAnsi="Verdana" w:cs="宋体"/>
          <w:color w:val="4B4B4B"/>
          <w:kern w:val="0"/>
          <w:szCs w:val="21"/>
        </w:rPr>
        <w:t>个工作日后通过销售机构的网点查询或打印交易确认单。</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、纸质对账单</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每季度结束后</w:t>
      </w:r>
      <w:r w:rsidRPr="00417752">
        <w:rPr>
          <w:rFonts w:ascii="Verdana" w:eastAsia="宋体" w:hAnsi="Verdana" w:cs="宋体"/>
          <w:color w:val="4B4B4B"/>
          <w:kern w:val="0"/>
          <w:szCs w:val="21"/>
        </w:rPr>
        <w:t>15</w:t>
      </w:r>
      <w:r w:rsidRPr="00417752">
        <w:rPr>
          <w:rFonts w:ascii="Verdana" w:eastAsia="宋体" w:hAnsi="Verdana" w:cs="宋体"/>
          <w:color w:val="4B4B4B"/>
          <w:kern w:val="0"/>
          <w:szCs w:val="21"/>
        </w:rPr>
        <w:t>个工作日内，基金管理人向本季度有交易且有定制的投资人寄送对账单，资料（含姓名及地址等）不详的除外。投资人可通过基金管理人网站（</w:t>
      </w:r>
      <w:r w:rsidRPr="00417752">
        <w:rPr>
          <w:rFonts w:ascii="Verdana" w:eastAsia="宋体" w:hAnsi="Verdana" w:cs="宋体"/>
          <w:color w:val="4B4B4B"/>
          <w:kern w:val="0"/>
          <w:szCs w:val="21"/>
        </w:rPr>
        <w:t>www.nffund.com</w:t>
      </w:r>
      <w:r w:rsidRPr="00417752">
        <w:rPr>
          <w:rFonts w:ascii="Verdana" w:eastAsia="宋体" w:hAnsi="Verdana" w:cs="宋体"/>
          <w:color w:val="4B4B4B"/>
          <w:kern w:val="0"/>
          <w:szCs w:val="21"/>
        </w:rPr>
        <w:t>）、客服热线（</w:t>
      </w:r>
      <w:r w:rsidRPr="00417752">
        <w:rPr>
          <w:rFonts w:ascii="Verdana" w:eastAsia="宋体" w:hAnsi="Verdana" w:cs="宋体"/>
          <w:color w:val="4B4B4B"/>
          <w:kern w:val="0"/>
          <w:szCs w:val="21"/>
        </w:rPr>
        <w:t>400-889-8899</w:t>
      </w:r>
      <w:r w:rsidRPr="00417752">
        <w:rPr>
          <w:rFonts w:ascii="Verdana" w:eastAsia="宋体" w:hAnsi="Verdana" w:cs="宋体"/>
          <w:color w:val="4B4B4B"/>
          <w:kern w:val="0"/>
          <w:szCs w:val="21"/>
        </w:rPr>
        <w:t>转人工）、</w:t>
      </w:r>
      <w:hyperlink r:id="rId31" w:history="1">
        <w:r w:rsidRPr="00417752">
          <w:rPr>
            <w:rFonts w:ascii="Verdana" w:eastAsia="宋体" w:hAnsi="Verdana" w:cs="宋体"/>
            <w:color w:val="4B4B4B"/>
            <w:kern w:val="0"/>
            <w:szCs w:val="21"/>
          </w:rPr>
          <w:t>客服邮箱（</w:t>
        </w:r>
        <w:r w:rsidRPr="00417752">
          <w:rPr>
            <w:rFonts w:ascii="Verdana" w:eastAsia="宋体" w:hAnsi="Verdana" w:cs="宋体"/>
            <w:color w:val="4B4B4B"/>
            <w:kern w:val="0"/>
            <w:szCs w:val="21"/>
          </w:rPr>
          <w:t>service@nffund.com</w:t>
        </w:r>
      </w:hyperlink>
      <w:r w:rsidRPr="00417752">
        <w:rPr>
          <w:rFonts w:ascii="Verdana" w:eastAsia="宋体" w:hAnsi="Verdana" w:cs="宋体"/>
          <w:color w:val="4B4B4B"/>
          <w:kern w:val="0"/>
          <w:szCs w:val="21"/>
        </w:rPr>
        <w:t>或</w:t>
      </w:r>
      <w:hyperlink r:id="rId32" w:anchor="#" w:history="1">
        <w:r w:rsidRPr="00417752">
          <w:rPr>
            <w:rFonts w:ascii="Verdana" w:eastAsia="宋体" w:hAnsi="Verdana" w:cs="宋体"/>
            <w:color w:val="4B4B4B"/>
            <w:kern w:val="0"/>
            <w:szCs w:val="21"/>
          </w:rPr>
          <w:t>service@southernfund.com</w:t>
        </w:r>
      </w:hyperlink>
      <w:r w:rsidRPr="00417752">
        <w:rPr>
          <w:rFonts w:ascii="Verdana" w:eastAsia="宋体" w:hAnsi="Verdana" w:cs="宋体"/>
          <w:color w:val="4B4B4B"/>
          <w:kern w:val="0"/>
          <w:szCs w:val="21"/>
        </w:rPr>
        <w:t>）及在线客服等途径申请</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取消对账单服务。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、电子对账单</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基金管理人提供月度、季度、年度电子邮件对账单及月度、季度手机短信对账单服务，基金管理人将以电子邮件或手机短信形式向定制的投资人定期发送。投资人可通过基金管理人网站（</w:t>
      </w:r>
      <w:r w:rsidRPr="00417752">
        <w:rPr>
          <w:rFonts w:ascii="Verdana" w:eastAsia="宋体" w:hAnsi="Verdana" w:cs="宋体"/>
          <w:color w:val="4B4B4B"/>
          <w:kern w:val="0"/>
          <w:szCs w:val="21"/>
        </w:rPr>
        <w:t>www.nffund.com</w:t>
      </w:r>
      <w:r w:rsidRPr="00417752">
        <w:rPr>
          <w:rFonts w:ascii="Verdana" w:eastAsia="宋体" w:hAnsi="Verdana" w:cs="宋体"/>
          <w:color w:val="4B4B4B"/>
          <w:kern w:val="0"/>
          <w:szCs w:val="21"/>
        </w:rPr>
        <w:t>）、客服热线（</w:t>
      </w:r>
      <w:r w:rsidRPr="00417752">
        <w:rPr>
          <w:rFonts w:ascii="Verdana" w:eastAsia="宋体" w:hAnsi="Verdana" w:cs="宋体"/>
          <w:color w:val="4B4B4B"/>
          <w:kern w:val="0"/>
          <w:szCs w:val="21"/>
        </w:rPr>
        <w:t>400-889-8899</w:t>
      </w:r>
      <w:r w:rsidRPr="00417752">
        <w:rPr>
          <w:rFonts w:ascii="Verdana" w:eastAsia="宋体" w:hAnsi="Verdana" w:cs="宋体"/>
          <w:color w:val="4B4B4B"/>
          <w:kern w:val="0"/>
          <w:szCs w:val="21"/>
        </w:rPr>
        <w:t>转人工）、</w:t>
      </w:r>
      <w:hyperlink r:id="rId33" w:history="1">
        <w:r w:rsidRPr="00417752">
          <w:rPr>
            <w:rFonts w:ascii="Verdana" w:eastAsia="宋体" w:hAnsi="Verdana" w:cs="宋体"/>
            <w:color w:val="4B4B4B"/>
            <w:kern w:val="0"/>
            <w:szCs w:val="21"/>
          </w:rPr>
          <w:t>客服邮箱（</w:t>
        </w:r>
        <w:r w:rsidRPr="00417752">
          <w:rPr>
            <w:rFonts w:ascii="Verdana" w:eastAsia="宋体" w:hAnsi="Verdana" w:cs="宋体"/>
            <w:color w:val="4B4B4B"/>
            <w:kern w:val="0"/>
            <w:szCs w:val="21"/>
          </w:rPr>
          <w:t>service@nffund.com</w:t>
        </w:r>
      </w:hyperlink>
      <w:r w:rsidRPr="00417752">
        <w:rPr>
          <w:rFonts w:ascii="Verdana" w:eastAsia="宋体" w:hAnsi="Verdana" w:cs="宋体"/>
          <w:color w:val="4B4B4B"/>
          <w:kern w:val="0"/>
          <w:szCs w:val="21"/>
        </w:rPr>
        <w:t>或</w:t>
      </w:r>
      <w:hyperlink r:id="rId34" w:anchor="#" w:history="1">
        <w:r w:rsidRPr="00417752">
          <w:rPr>
            <w:rFonts w:ascii="Verdana" w:eastAsia="宋体" w:hAnsi="Verdana" w:cs="宋体"/>
            <w:color w:val="4B4B4B"/>
            <w:kern w:val="0"/>
            <w:szCs w:val="21"/>
          </w:rPr>
          <w:t>service@southernfund.com</w:t>
        </w:r>
      </w:hyperlink>
      <w:r w:rsidRPr="00417752">
        <w:rPr>
          <w:rFonts w:ascii="Verdana" w:eastAsia="宋体" w:hAnsi="Verdana" w:cs="宋体"/>
          <w:color w:val="4B4B4B"/>
          <w:kern w:val="0"/>
          <w:szCs w:val="21"/>
        </w:rPr>
        <w:t>）及在线客服等途径申请</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取消对账单服务。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二、网上在线服务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（一）通过基金管理人网站（</w:t>
      </w:r>
      <w:r w:rsidRPr="00417752">
        <w:rPr>
          <w:rFonts w:ascii="Verdana" w:eastAsia="宋体" w:hAnsi="Verdana" w:cs="宋体"/>
          <w:color w:val="4B4B4B"/>
          <w:kern w:val="0"/>
          <w:szCs w:val="21"/>
        </w:rPr>
        <w:t>www.nffund.com</w:t>
      </w:r>
      <w:r w:rsidRPr="00417752">
        <w:rPr>
          <w:rFonts w:ascii="Verdana" w:eastAsia="宋体" w:hAnsi="Verdana" w:cs="宋体"/>
          <w:color w:val="4B4B4B"/>
          <w:kern w:val="0"/>
          <w:szCs w:val="21"/>
        </w:rPr>
        <w:t>），投资人可获得如下服务：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、查询服务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投资人通过基金账户号、身份证号等开户证件号码和查询密码登录基金管理人网站</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账户查询</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栏目，可享有基金交易查询、账户查询和基金信息查询服务。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、信息资讯服务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投资人可以利用基金管理人网站获取本基金和基金管理人的各类信息，包括基金的法律文件、基金公告、业绩报告和基金管理人最新动态等各类最新资料。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、网上交易服务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投资人可通过基金管理人网站</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网上交易</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系统办理本基金的开户、认购</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申购、定投、赎回及信息查询等业务。有关基金管理人电子直销具体业务规则请参见基金管理人网站相关公告和业务规则。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、自助答疑服务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投资人可通过基金管理人网站</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在线客服</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，根据提示操作输入要咨询问题的关键词，便可自助进行相关问题的搜索及解答。</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5</w:t>
      </w:r>
      <w:r w:rsidRPr="00417752">
        <w:rPr>
          <w:rFonts w:ascii="Verdana" w:eastAsia="宋体" w:hAnsi="Verdana" w:cs="宋体"/>
          <w:color w:val="4B4B4B"/>
          <w:kern w:val="0"/>
          <w:szCs w:val="21"/>
        </w:rPr>
        <w:t>、网上人工服务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投资人可登录基金管理人网站通过</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在线客服</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获得投资顾问、服务定制</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取消、账户查询等专项服务。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6</w:t>
      </w:r>
      <w:r w:rsidRPr="00417752">
        <w:rPr>
          <w:rFonts w:ascii="Verdana" w:eastAsia="宋体" w:hAnsi="Verdana" w:cs="宋体"/>
          <w:color w:val="4B4B4B"/>
          <w:kern w:val="0"/>
          <w:szCs w:val="21"/>
        </w:rPr>
        <w:t>、专用客户端下载</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投资人可通过基金管理人网站下载专用客户端，如</w:t>
      </w:r>
      <w:r w:rsidRPr="00417752">
        <w:rPr>
          <w:rFonts w:ascii="Verdana" w:eastAsia="宋体" w:hAnsi="Verdana" w:cs="宋体"/>
          <w:color w:val="4B4B4B"/>
          <w:kern w:val="0"/>
          <w:szCs w:val="21"/>
        </w:rPr>
        <w:t>PC</w:t>
      </w:r>
      <w:r w:rsidRPr="00417752">
        <w:rPr>
          <w:rFonts w:ascii="Verdana" w:eastAsia="宋体" w:hAnsi="Verdana" w:cs="宋体"/>
          <w:color w:val="4B4B4B"/>
          <w:kern w:val="0"/>
          <w:szCs w:val="21"/>
        </w:rPr>
        <w:t>版、</w:t>
      </w:r>
      <w:r w:rsidRPr="00417752">
        <w:rPr>
          <w:rFonts w:ascii="Verdana" w:eastAsia="宋体" w:hAnsi="Verdana" w:cs="宋体"/>
          <w:color w:val="4B4B4B"/>
          <w:kern w:val="0"/>
          <w:szCs w:val="21"/>
        </w:rPr>
        <w:t>iPhone</w:t>
      </w:r>
      <w:r w:rsidRPr="00417752">
        <w:rPr>
          <w:rFonts w:ascii="Verdana" w:eastAsia="宋体" w:hAnsi="Verdana" w:cs="宋体"/>
          <w:color w:val="4B4B4B"/>
          <w:kern w:val="0"/>
          <w:szCs w:val="21"/>
        </w:rPr>
        <w:t>版、</w:t>
      </w:r>
      <w:r w:rsidRPr="00417752">
        <w:rPr>
          <w:rFonts w:ascii="Verdana" w:eastAsia="宋体" w:hAnsi="Verdana" w:cs="宋体"/>
          <w:color w:val="4B4B4B"/>
          <w:kern w:val="0"/>
          <w:szCs w:val="21"/>
        </w:rPr>
        <w:t>iPad</w:t>
      </w:r>
      <w:r w:rsidRPr="00417752">
        <w:rPr>
          <w:rFonts w:ascii="Verdana" w:eastAsia="宋体" w:hAnsi="Verdana" w:cs="宋体"/>
          <w:color w:val="4B4B4B"/>
          <w:kern w:val="0"/>
          <w:szCs w:val="21"/>
        </w:rPr>
        <w:t>版和</w:t>
      </w:r>
      <w:r w:rsidRPr="00417752">
        <w:rPr>
          <w:rFonts w:ascii="Verdana" w:eastAsia="宋体" w:hAnsi="Verdana" w:cs="宋体"/>
          <w:color w:val="4B4B4B"/>
          <w:kern w:val="0"/>
          <w:szCs w:val="21"/>
        </w:rPr>
        <w:t>Android</w:t>
      </w:r>
      <w:r w:rsidRPr="00417752">
        <w:rPr>
          <w:rFonts w:ascii="Verdana" w:eastAsia="宋体" w:hAnsi="Verdana" w:cs="宋体"/>
          <w:color w:val="4B4B4B"/>
          <w:kern w:val="0"/>
          <w:szCs w:val="21"/>
        </w:rPr>
        <w:t>版等，通过专用客户端获得基金净值查询、账户查询、理财资讯及相关客户服务。基金管理人电子直销投资人还可通过专用客户端进行基金交易。</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（二）投资人通过手机上网，访问</w:t>
      </w:r>
      <w:r w:rsidRPr="00417752">
        <w:rPr>
          <w:rFonts w:ascii="Verdana" w:eastAsia="宋体" w:hAnsi="Verdana" w:cs="宋体"/>
          <w:color w:val="4B4B4B"/>
          <w:kern w:val="0"/>
          <w:szCs w:val="21"/>
        </w:rPr>
        <w:t>https://wap.southernfund.com</w:t>
      </w:r>
      <w:r w:rsidRPr="00417752">
        <w:rPr>
          <w:rFonts w:ascii="Verdana" w:eastAsia="宋体" w:hAnsi="Verdana" w:cs="宋体"/>
          <w:color w:val="4B4B4B"/>
          <w:kern w:val="0"/>
          <w:szCs w:val="21"/>
        </w:rPr>
        <w:t>可获得基金管理人最新的理财资讯，办理各项基金查询和基金交易业务。手机</w:t>
      </w:r>
      <w:r w:rsidRPr="00417752">
        <w:rPr>
          <w:rFonts w:ascii="Verdana" w:eastAsia="宋体" w:hAnsi="Verdana" w:cs="宋体"/>
          <w:color w:val="4B4B4B"/>
          <w:kern w:val="0"/>
          <w:szCs w:val="21"/>
        </w:rPr>
        <w:t>WAP</w:t>
      </w:r>
      <w:r w:rsidRPr="00417752">
        <w:rPr>
          <w:rFonts w:ascii="Verdana" w:eastAsia="宋体" w:hAnsi="Verdana" w:cs="宋体"/>
          <w:color w:val="4B4B4B"/>
          <w:kern w:val="0"/>
          <w:szCs w:val="21"/>
        </w:rPr>
        <w:t>交易具体规则请参见基金管理人网站相关公告和业务规则。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（三）投资人通过微信添加基金管理人（可搜索公众号</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南方基金</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或微信号</w:t>
      </w:r>
      <w:r w:rsidRPr="00417752">
        <w:rPr>
          <w:rFonts w:ascii="Verdana" w:eastAsia="宋体" w:hAnsi="Verdana" w:cs="宋体"/>
          <w:color w:val="4B4B4B"/>
          <w:kern w:val="0"/>
          <w:szCs w:val="21"/>
        </w:rPr>
        <w:t>“NF4008898899”</w:t>
      </w:r>
      <w:r w:rsidRPr="00417752">
        <w:rPr>
          <w:rFonts w:ascii="Verdana" w:eastAsia="宋体" w:hAnsi="Verdana" w:cs="宋体"/>
          <w:color w:val="4B4B4B"/>
          <w:kern w:val="0"/>
          <w:szCs w:val="21"/>
        </w:rPr>
        <w:t>）为朋友，可查阅基金净值、基金动态及活动、服务资讯等。如绑定个人账户，还可享有基金交易（仅限基金管理人电子直销投资人）、账户查询、基金交易查询、持有理财基金到期日查询等服务。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三、信息定制服务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投资人可以通过基金管理人网站（</w:t>
      </w:r>
      <w:r w:rsidRPr="00417752">
        <w:rPr>
          <w:rFonts w:ascii="Verdana" w:eastAsia="宋体" w:hAnsi="Verdana" w:cs="宋体"/>
          <w:color w:val="4B4B4B"/>
          <w:kern w:val="0"/>
          <w:szCs w:val="21"/>
        </w:rPr>
        <w:t>www.nffund.com</w:t>
      </w:r>
      <w:r w:rsidRPr="00417752">
        <w:rPr>
          <w:rFonts w:ascii="Verdana" w:eastAsia="宋体" w:hAnsi="Verdana" w:cs="宋体"/>
          <w:color w:val="4B4B4B"/>
          <w:kern w:val="0"/>
          <w:szCs w:val="21"/>
        </w:rPr>
        <w:t>）、客户服务中心提交信息定制申请，基金管理人通过电子邮件或手机短信定期发送所定制的信息。</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、电子邮件：基金份额净值、电子邮件对账单、各类电邮资讯等。</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、手机短信：基金份额净值、手机短信对账单、各类短</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彩信资讯等。</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四、账户资料变更服务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为便于投资人及时得到基金管理人提供的各项服务，请投资人及时更新服务联系信息。投资人可通过以下</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种方式进行服务联系信息（包括联系地址、手机号码、固定电话、电子邮箱等）的变更。基金管理人电子直销投资人交易联系信息的变更，请遵照基金管理人电子直销相关规定办理：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、登录基金管理人网站</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账户查询</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或</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网上交易</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（仅限基金管理人电子直销投资人）系统自助修改联系信息。</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、致电基金管理人客户服务中心</w:t>
      </w:r>
      <w:r w:rsidRPr="00417752">
        <w:rPr>
          <w:rFonts w:ascii="Verdana" w:eastAsia="宋体" w:hAnsi="Verdana" w:cs="宋体"/>
          <w:color w:val="4B4B4B"/>
          <w:kern w:val="0"/>
          <w:szCs w:val="21"/>
        </w:rPr>
        <w:t>400-889-8899</w:t>
      </w:r>
      <w:r w:rsidRPr="00417752">
        <w:rPr>
          <w:rFonts w:ascii="Verdana" w:eastAsia="宋体" w:hAnsi="Verdana" w:cs="宋体"/>
          <w:color w:val="4B4B4B"/>
          <w:kern w:val="0"/>
          <w:szCs w:val="21"/>
        </w:rPr>
        <w:t>转人工修改。</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w:t>
      </w:r>
      <w:hyperlink r:id="rId35" w:history="1">
        <w:r w:rsidRPr="00417752">
          <w:rPr>
            <w:rFonts w:ascii="Verdana" w:eastAsia="宋体" w:hAnsi="Verdana" w:cs="宋体"/>
            <w:color w:val="4B4B4B"/>
            <w:kern w:val="0"/>
            <w:szCs w:val="21"/>
          </w:rPr>
          <w:t>发送邮件至基金管理人客服邮箱</w:t>
        </w:r>
        <w:r w:rsidRPr="00417752">
          <w:rPr>
            <w:rFonts w:ascii="Verdana" w:eastAsia="宋体" w:hAnsi="Verdana" w:cs="宋体"/>
            <w:color w:val="4B4B4B"/>
            <w:kern w:val="0"/>
            <w:szCs w:val="21"/>
          </w:rPr>
          <w:t>service@nffund.com</w:t>
        </w:r>
      </w:hyperlink>
      <w:r w:rsidRPr="00417752">
        <w:rPr>
          <w:rFonts w:ascii="Verdana" w:eastAsia="宋体" w:hAnsi="Verdana" w:cs="宋体"/>
          <w:color w:val="4B4B4B"/>
          <w:kern w:val="0"/>
          <w:szCs w:val="21"/>
        </w:rPr>
        <w:t>或</w:t>
      </w:r>
      <w:hyperlink r:id="rId36" w:anchor="#" w:history="1">
        <w:r w:rsidRPr="00417752">
          <w:rPr>
            <w:rFonts w:ascii="Verdana" w:eastAsia="宋体" w:hAnsi="Verdana" w:cs="宋体"/>
            <w:color w:val="4B4B4B"/>
            <w:kern w:val="0"/>
            <w:szCs w:val="21"/>
          </w:rPr>
          <w:t>service@southernfund.com</w:t>
        </w:r>
      </w:hyperlink>
      <w:r w:rsidRPr="00417752">
        <w:rPr>
          <w:rFonts w:ascii="Verdana" w:eastAsia="宋体" w:hAnsi="Verdana" w:cs="宋体"/>
          <w:color w:val="4B4B4B"/>
          <w:kern w:val="0"/>
          <w:szCs w:val="21"/>
        </w:rPr>
        <w:t>提交修改申请。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4</w:t>
      </w:r>
      <w:r w:rsidRPr="00417752">
        <w:rPr>
          <w:rFonts w:ascii="Verdana" w:eastAsia="宋体" w:hAnsi="Verdana" w:cs="宋体"/>
          <w:color w:val="4B4B4B"/>
          <w:kern w:val="0"/>
          <w:szCs w:val="21"/>
        </w:rPr>
        <w:t>、通过基金管理人网站</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在线客服</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在线提交修改申请。</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b/>
          <w:bCs/>
          <w:color w:val="4B4B4B"/>
          <w:kern w:val="0"/>
          <w:szCs w:val="21"/>
        </w:rPr>
        <w:t>五、客户服务中心电话服务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投资人拨打基金管理人客服热线</w:t>
      </w:r>
      <w:r w:rsidRPr="00417752">
        <w:rPr>
          <w:rFonts w:ascii="Verdana" w:eastAsia="宋体" w:hAnsi="Verdana" w:cs="宋体"/>
          <w:color w:val="4B4B4B"/>
          <w:kern w:val="0"/>
          <w:szCs w:val="21"/>
        </w:rPr>
        <w:t>400-889-8899</w:t>
      </w:r>
      <w:r w:rsidRPr="00417752">
        <w:rPr>
          <w:rFonts w:ascii="Verdana" w:eastAsia="宋体" w:hAnsi="Verdana" w:cs="宋体"/>
          <w:color w:val="4B4B4B"/>
          <w:kern w:val="0"/>
          <w:szCs w:val="21"/>
        </w:rPr>
        <w:t>（国内免长途话费）可享有如下服务：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1</w:t>
      </w:r>
      <w:r w:rsidRPr="00417752">
        <w:rPr>
          <w:rFonts w:ascii="Verdana" w:eastAsia="宋体" w:hAnsi="Verdana" w:cs="宋体"/>
          <w:color w:val="4B4B4B"/>
          <w:kern w:val="0"/>
          <w:szCs w:val="21"/>
        </w:rPr>
        <w:t>、自助语音服务：提供</w:t>
      </w:r>
      <w:r w:rsidRPr="00417752">
        <w:rPr>
          <w:rFonts w:ascii="Verdana" w:eastAsia="宋体" w:hAnsi="Verdana" w:cs="宋体"/>
          <w:color w:val="4B4B4B"/>
          <w:kern w:val="0"/>
          <w:szCs w:val="21"/>
        </w:rPr>
        <w:t>7×24</w:t>
      </w:r>
      <w:r w:rsidRPr="00417752">
        <w:rPr>
          <w:rFonts w:ascii="Verdana" w:eastAsia="宋体" w:hAnsi="Verdana" w:cs="宋体"/>
          <w:color w:val="4B4B4B"/>
          <w:kern w:val="0"/>
          <w:szCs w:val="21"/>
        </w:rPr>
        <w:t>小时基金净值信息、账户交易情况、基金产品等自助查询服务。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2</w:t>
      </w:r>
      <w:r w:rsidRPr="00417752">
        <w:rPr>
          <w:rFonts w:ascii="Verdana" w:eastAsia="宋体" w:hAnsi="Verdana" w:cs="宋体"/>
          <w:color w:val="4B4B4B"/>
          <w:kern w:val="0"/>
          <w:szCs w:val="21"/>
        </w:rPr>
        <w:t>、人工服务：提供每周七天，每日不少于</w:t>
      </w:r>
      <w:r w:rsidRPr="00417752">
        <w:rPr>
          <w:rFonts w:ascii="Verdana" w:eastAsia="宋体" w:hAnsi="Verdana" w:cs="宋体"/>
          <w:color w:val="4B4B4B"/>
          <w:kern w:val="0"/>
          <w:szCs w:val="21"/>
        </w:rPr>
        <w:t>8</w:t>
      </w:r>
      <w:r w:rsidRPr="00417752">
        <w:rPr>
          <w:rFonts w:ascii="Verdana" w:eastAsia="宋体" w:hAnsi="Verdana" w:cs="宋体"/>
          <w:color w:val="4B4B4B"/>
          <w:kern w:val="0"/>
          <w:szCs w:val="21"/>
        </w:rPr>
        <w:t>小时的人工服务（法定节假日除外）。投资人可以通过该热线获得投资顾问、业务咨询、信息查询、服务投诉及建议、信息定制、资料修改等专项服务。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3</w:t>
      </w:r>
      <w:r w:rsidRPr="00417752">
        <w:rPr>
          <w:rFonts w:ascii="Verdana" w:eastAsia="宋体" w:hAnsi="Verdana" w:cs="宋体"/>
          <w:color w:val="4B4B4B"/>
          <w:kern w:val="0"/>
          <w:szCs w:val="21"/>
        </w:rPr>
        <w:t>、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r w:rsidRPr="00417752">
        <w:rPr>
          <w:rFonts w:ascii="Verdana" w:eastAsia="宋体" w:hAnsi="Verdana" w:cs="宋体"/>
          <w:b/>
          <w:bCs/>
          <w:color w:val="4B4B4B"/>
          <w:kern w:val="0"/>
          <w:szCs w:val="21"/>
        </w:rPr>
        <w:t>六、客户投诉及建议受理服务</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投资人可以通过基金管理人客户服务中心人工热线、在线客服、书信、电子邮件、短信、传真及各销售机构网点柜台等不同的渠道对基金管理人和销售网点所提供的服务进行投诉或提出建议。</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如本招募说明书存在任何您</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贵机构无法理解的内容，请通过上述方式联系基金管理人。请确保投资前，您</w:t>
      </w:r>
      <w:r w:rsidRPr="00417752">
        <w:rPr>
          <w:rFonts w:ascii="Verdana" w:eastAsia="宋体" w:hAnsi="Verdana" w:cs="宋体"/>
          <w:color w:val="4B4B4B"/>
          <w:kern w:val="0"/>
          <w:szCs w:val="21"/>
        </w:rPr>
        <w:t>/</w:t>
      </w:r>
      <w:r w:rsidRPr="00417752">
        <w:rPr>
          <w:rFonts w:ascii="Verdana" w:eastAsia="宋体" w:hAnsi="Verdana" w:cs="宋体"/>
          <w:color w:val="4B4B4B"/>
          <w:kern w:val="0"/>
          <w:szCs w:val="21"/>
        </w:rPr>
        <w:t>贵机构已经全面理解了本招募说明书。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bookmarkStart w:id="177" w:name="_GoBack"/>
      <w:bookmarkEnd w:id="177"/>
      <w:r w:rsidRPr="00417752">
        <w:rPr>
          <w:rFonts w:ascii="Verdana" w:eastAsia="宋体" w:hAnsi="Verdana" w:cs="宋体"/>
          <w:color w:val="4B4B4B"/>
          <w:kern w:val="0"/>
          <w:szCs w:val="21"/>
        </w:rPr>
        <w:t>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178" w:name="_Toc360793865"/>
      <w:bookmarkStart w:id="179" w:name="_Toc360794115"/>
      <w:bookmarkStart w:id="180" w:name="_Toc360794423"/>
      <w:bookmarkStart w:id="181" w:name="_Toc360794531"/>
      <w:bookmarkStart w:id="182" w:name="_Toc362455198"/>
      <w:bookmarkStart w:id="183" w:name="_Toc362533470"/>
      <w:bookmarkStart w:id="184" w:name="_Toc416453860"/>
      <w:bookmarkStart w:id="185" w:name="_Toc360793513"/>
      <w:bookmarkEnd w:id="178"/>
      <w:bookmarkEnd w:id="179"/>
      <w:bookmarkEnd w:id="180"/>
      <w:bookmarkEnd w:id="181"/>
      <w:bookmarkEnd w:id="182"/>
      <w:bookmarkEnd w:id="183"/>
      <w:bookmarkEnd w:id="184"/>
      <w:r w:rsidRPr="00417752">
        <w:rPr>
          <w:rFonts w:ascii="Verdana" w:eastAsia="宋体" w:hAnsi="Verdana" w:cs="宋体"/>
          <w:b/>
          <w:bCs/>
          <w:color w:val="4B4B4B"/>
          <w:kern w:val="0"/>
          <w:szCs w:val="21"/>
        </w:rPr>
        <w:t>二十一、</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其它应披露事项</w:t>
      </w:r>
      <w:bookmarkEnd w:id="185"/>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本基金暂无其他应披露事项。基金合同如有未尽事宜，由基金合同当事人各方按有关法律法规和规定协商解决。</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186" w:name="_Toc360793866"/>
      <w:bookmarkStart w:id="187" w:name="_Toc360794116"/>
      <w:bookmarkStart w:id="188" w:name="_Toc360794424"/>
      <w:bookmarkStart w:id="189" w:name="_Toc360794532"/>
      <w:bookmarkStart w:id="190" w:name="_Toc362455199"/>
      <w:bookmarkStart w:id="191" w:name="_Toc362533471"/>
      <w:bookmarkStart w:id="192" w:name="_Toc416453861"/>
      <w:bookmarkStart w:id="193" w:name="_Toc360793514"/>
      <w:bookmarkEnd w:id="186"/>
      <w:bookmarkEnd w:id="187"/>
      <w:bookmarkEnd w:id="188"/>
      <w:bookmarkEnd w:id="189"/>
      <w:bookmarkEnd w:id="190"/>
      <w:bookmarkEnd w:id="191"/>
      <w:bookmarkEnd w:id="192"/>
      <w:r w:rsidRPr="00417752">
        <w:rPr>
          <w:rFonts w:ascii="Verdana" w:eastAsia="宋体" w:hAnsi="Verdana" w:cs="宋体"/>
          <w:b/>
          <w:bCs/>
          <w:color w:val="4B4B4B"/>
          <w:kern w:val="0"/>
          <w:szCs w:val="21"/>
        </w:rPr>
        <w:t>二十二、</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招募说明书存放及其查阅方式</w:t>
      </w:r>
      <w:bookmarkEnd w:id="193"/>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本招募说明书存放在本基金管理人、基金托管人、销售机构和登记机构的办公场所，投资人可在办公时间免费查阅；也可按工本费购买本招募说明书复制件或复印件，但应以招募说明书正本为准。</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基金管理人和基金托管人保证文本的内容与所公告的内容完全一致。</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p>
    <w:p w:rsidR="00417752" w:rsidRPr="00417752" w:rsidRDefault="00417752" w:rsidP="00417752">
      <w:pPr>
        <w:widowControl/>
        <w:spacing w:before="100" w:beforeAutospacing="1" w:after="100" w:afterAutospacing="1" w:line="245" w:lineRule="atLeast"/>
        <w:jc w:val="left"/>
        <w:outlineLvl w:val="1"/>
        <w:rPr>
          <w:rFonts w:ascii="Verdana" w:eastAsia="宋体" w:hAnsi="Verdana" w:cs="宋体"/>
          <w:b/>
          <w:bCs/>
          <w:color w:val="4B4B4B"/>
          <w:kern w:val="0"/>
          <w:szCs w:val="21"/>
        </w:rPr>
      </w:pPr>
      <w:r w:rsidRPr="00417752">
        <w:rPr>
          <w:rFonts w:ascii="Verdana" w:eastAsia="宋体" w:hAnsi="Verdana" w:cs="宋体"/>
          <w:b/>
          <w:bCs/>
          <w:color w:val="4B4B4B"/>
          <w:kern w:val="0"/>
          <w:szCs w:val="21"/>
        </w:rPr>
        <w:t xml:space="preserve">　　</w:t>
      </w:r>
      <w:bookmarkStart w:id="194" w:name="_Toc360793867"/>
      <w:bookmarkStart w:id="195" w:name="_Toc360794117"/>
      <w:bookmarkStart w:id="196" w:name="_Toc360794425"/>
      <w:bookmarkStart w:id="197" w:name="_Toc360794533"/>
      <w:bookmarkStart w:id="198" w:name="_Toc362455200"/>
      <w:bookmarkStart w:id="199" w:name="_Toc362533472"/>
      <w:bookmarkStart w:id="200" w:name="_Toc416453862"/>
      <w:bookmarkStart w:id="201" w:name="_Toc360793515"/>
      <w:bookmarkEnd w:id="194"/>
      <w:bookmarkEnd w:id="195"/>
      <w:bookmarkEnd w:id="196"/>
      <w:bookmarkEnd w:id="197"/>
      <w:bookmarkEnd w:id="198"/>
      <w:bookmarkEnd w:id="199"/>
      <w:bookmarkEnd w:id="200"/>
      <w:r w:rsidRPr="00417752">
        <w:rPr>
          <w:rFonts w:ascii="Verdana" w:eastAsia="宋体" w:hAnsi="Verdana" w:cs="宋体"/>
          <w:b/>
          <w:bCs/>
          <w:color w:val="4B4B4B"/>
          <w:kern w:val="0"/>
          <w:szCs w:val="21"/>
        </w:rPr>
        <w:t>二十三、</w:t>
      </w:r>
      <w:r w:rsidRPr="00417752">
        <w:rPr>
          <w:rFonts w:ascii="Verdana" w:eastAsia="宋体" w:hAnsi="Verdana" w:cs="宋体"/>
          <w:b/>
          <w:bCs/>
          <w:color w:val="4B4B4B"/>
          <w:kern w:val="0"/>
          <w:szCs w:val="21"/>
        </w:rPr>
        <w:t xml:space="preserve">    </w:t>
      </w:r>
      <w:r w:rsidRPr="00417752">
        <w:rPr>
          <w:rFonts w:ascii="Verdana" w:eastAsia="宋体" w:hAnsi="Verdana" w:cs="宋体"/>
          <w:b/>
          <w:bCs/>
          <w:color w:val="4B4B4B"/>
          <w:kern w:val="0"/>
          <w:szCs w:val="21"/>
        </w:rPr>
        <w:t>备查文件</w:t>
      </w:r>
      <w:bookmarkEnd w:id="201"/>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一、中国证监会准予本基金注册的文件</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二、《南方量化成长股票型证券投资基金基金合同》</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三、《南方量化成长股票型证券投资基金托管协议》</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四、《南方基金管理有限公司开放式基金业务规则》</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五、法律意见书</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六、基金管理人业务资格批件、营业执照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七、基金托管人业务资格批件、营业执照</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righ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 xml:space="preserve"> </w:t>
      </w:r>
    </w:p>
    <w:p w:rsidR="00417752" w:rsidRPr="00417752" w:rsidRDefault="00417752" w:rsidP="00417752">
      <w:pPr>
        <w:widowControl/>
        <w:spacing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br w:type="textWrapping" w:clear="all"/>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（本页仅供《南方量化成长股票型证券投资基金招募说明书》使用）</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lastRenderedPageBreak/>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签订地：</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市</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w:t>
      </w:r>
    </w:p>
    <w:p w:rsidR="00417752" w:rsidRPr="00417752" w:rsidRDefault="00417752" w:rsidP="00417752">
      <w:pPr>
        <w:widowControl/>
        <w:spacing w:before="100" w:beforeAutospacing="1" w:after="100" w:afterAutospacing="1" w:line="245" w:lineRule="atLeast"/>
        <w:jc w:val="left"/>
        <w:rPr>
          <w:rFonts w:ascii="Verdana" w:eastAsia="宋体" w:hAnsi="Verdana" w:cs="宋体"/>
          <w:color w:val="4B4B4B"/>
          <w:kern w:val="0"/>
          <w:szCs w:val="21"/>
        </w:rPr>
      </w:pPr>
      <w:r w:rsidRPr="00417752">
        <w:rPr>
          <w:rFonts w:ascii="Verdana" w:eastAsia="宋体" w:hAnsi="Verdana" w:cs="宋体"/>
          <w:color w:val="4B4B4B"/>
          <w:kern w:val="0"/>
          <w:szCs w:val="21"/>
        </w:rPr>
        <w:t xml:space="preserve">　　签订日：</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年</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月</w:t>
      </w:r>
      <w:r w:rsidRPr="00417752">
        <w:rPr>
          <w:rFonts w:ascii="Verdana" w:eastAsia="宋体" w:hAnsi="Verdana" w:cs="宋体"/>
          <w:color w:val="4B4B4B"/>
          <w:kern w:val="0"/>
          <w:szCs w:val="21"/>
        </w:rPr>
        <w:t xml:space="preserve">   </w:t>
      </w:r>
      <w:r w:rsidRPr="00417752">
        <w:rPr>
          <w:rFonts w:ascii="Verdana" w:eastAsia="宋体" w:hAnsi="Verdana" w:cs="宋体"/>
          <w:color w:val="4B4B4B"/>
          <w:kern w:val="0"/>
          <w:szCs w:val="21"/>
        </w:rPr>
        <w:t>日</w:t>
      </w:r>
    </w:p>
    <w:p w:rsidR="00417752" w:rsidRPr="00417752" w:rsidRDefault="00417752">
      <w:pPr>
        <w:rPr>
          <w:szCs w:val="21"/>
        </w:rPr>
      </w:pPr>
    </w:p>
    <w:sectPr w:rsidR="00417752" w:rsidRPr="00417752" w:rsidSect="00C50C9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EC1" w:rsidRDefault="00DB1EC1" w:rsidP="00417752">
      <w:r>
        <w:separator/>
      </w:r>
    </w:p>
  </w:endnote>
  <w:endnote w:type="continuationSeparator" w:id="0">
    <w:p w:rsidR="00DB1EC1" w:rsidRDefault="00DB1EC1" w:rsidP="004177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EC1" w:rsidRDefault="00DB1EC1" w:rsidP="00417752">
      <w:r>
        <w:separator/>
      </w:r>
    </w:p>
  </w:footnote>
  <w:footnote w:type="continuationSeparator" w:id="0">
    <w:p w:rsidR="00DB1EC1" w:rsidRDefault="00DB1EC1" w:rsidP="004177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7752"/>
    <w:rsid w:val="00417752"/>
    <w:rsid w:val="00831A20"/>
    <w:rsid w:val="00845293"/>
    <w:rsid w:val="00C26F52"/>
    <w:rsid w:val="00C50C99"/>
    <w:rsid w:val="00DB1E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0C99"/>
    <w:pPr>
      <w:widowControl w:val="0"/>
      <w:jc w:val="both"/>
    </w:pPr>
  </w:style>
  <w:style w:type="paragraph" w:styleId="2">
    <w:name w:val="heading 2"/>
    <w:basedOn w:val="a"/>
    <w:link w:val="2Char"/>
    <w:uiPriority w:val="9"/>
    <w:qFormat/>
    <w:rsid w:val="0041775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77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7752"/>
    <w:rPr>
      <w:sz w:val="18"/>
      <w:szCs w:val="18"/>
    </w:rPr>
  </w:style>
  <w:style w:type="paragraph" w:styleId="a4">
    <w:name w:val="footer"/>
    <w:basedOn w:val="a"/>
    <w:link w:val="Char0"/>
    <w:uiPriority w:val="99"/>
    <w:semiHidden/>
    <w:unhideWhenUsed/>
    <w:rsid w:val="004177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7752"/>
    <w:rPr>
      <w:sz w:val="18"/>
      <w:szCs w:val="18"/>
    </w:rPr>
  </w:style>
  <w:style w:type="character" w:customStyle="1" w:styleId="2Char">
    <w:name w:val="标题 2 Char"/>
    <w:basedOn w:val="a0"/>
    <w:link w:val="2"/>
    <w:uiPriority w:val="9"/>
    <w:rsid w:val="00417752"/>
    <w:rPr>
      <w:rFonts w:ascii="宋体" w:eastAsia="宋体" w:hAnsi="宋体" w:cs="宋体"/>
      <w:b/>
      <w:bCs/>
      <w:kern w:val="0"/>
      <w:sz w:val="36"/>
      <w:szCs w:val="36"/>
    </w:rPr>
  </w:style>
  <w:style w:type="character" w:styleId="a5">
    <w:name w:val="Hyperlink"/>
    <w:basedOn w:val="a0"/>
    <w:uiPriority w:val="99"/>
    <w:semiHidden/>
    <w:unhideWhenUsed/>
    <w:rsid w:val="00417752"/>
    <w:rPr>
      <w:strike w:val="0"/>
      <w:dstrike w:val="0"/>
      <w:color w:val="4B4B4B"/>
      <w:u w:val="none"/>
      <w:effect w:val="none"/>
    </w:rPr>
  </w:style>
  <w:style w:type="character" w:styleId="a6">
    <w:name w:val="FollowedHyperlink"/>
    <w:basedOn w:val="a0"/>
    <w:uiPriority w:val="99"/>
    <w:semiHidden/>
    <w:unhideWhenUsed/>
    <w:rsid w:val="00417752"/>
    <w:rPr>
      <w:strike w:val="0"/>
      <w:dstrike w:val="0"/>
      <w:color w:val="4B4B4B"/>
      <w:u w:val="none"/>
      <w:effect w:val="none"/>
    </w:rPr>
  </w:style>
  <w:style w:type="paragraph" w:styleId="a7">
    <w:name w:val="Normal (Web)"/>
    <w:basedOn w:val="a"/>
    <w:uiPriority w:val="99"/>
    <w:unhideWhenUsed/>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mainbg">
    <w:name w:val="mainbg"/>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searchinput">
    <w:name w:val="search_input"/>
    <w:basedOn w:val="a"/>
    <w:rsid w:val="00417752"/>
    <w:pPr>
      <w:widowControl/>
      <w:pBdr>
        <w:top w:val="single" w:sz="6" w:space="0" w:color="82A0BA"/>
        <w:left w:val="single" w:sz="6" w:space="4" w:color="82A0BA"/>
        <w:bottom w:val="single" w:sz="6" w:space="0" w:color="82A0BA"/>
        <w:right w:val="single" w:sz="6" w:space="0" w:color="82A0BA"/>
      </w:pBdr>
      <w:spacing w:before="100" w:beforeAutospacing="1" w:after="100" w:afterAutospacing="1"/>
      <w:jc w:val="left"/>
    </w:pPr>
    <w:rPr>
      <w:rFonts w:ascii="宋体" w:eastAsia="宋体" w:hAnsi="宋体" w:cs="宋体"/>
      <w:color w:val="4B4C4E"/>
      <w:kern w:val="0"/>
      <w:sz w:val="16"/>
      <w:szCs w:val="16"/>
    </w:rPr>
  </w:style>
  <w:style w:type="paragraph" w:customStyle="1" w:styleId="searchbutton">
    <w:name w:val="search_button"/>
    <w:basedOn w:val="a"/>
    <w:rsid w:val="00417752"/>
    <w:pPr>
      <w:widowControl/>
      <w:pBdr>
        <w:top w:val="single" w:sz="6" w:space="0" w:color="82A0BA"/>
        <w:left w:val="single" w:sz="6" w:space="4" w:color="82A0BA"/>
        <w:bottom w:val="single" w:sz="6" w:space="0" w:color="82A0BA"/>
        <w:right w:val="single" w:sz="6" w:space="0" w:color="82A0BA"/>
      </w:pBdr>
      <w:spacing w:before="100" w:beforeAutospacing="1" w:after="100" w:afterAutospacing="1"/>
      <w:jc w:val="left"/>
    </w:pPr>
    <w:rPr>
      <w:rFonts w:ascii="宋体" w:eastAsia="宋体" w:hAnsi="宋体" w:cs="宋体"/>
      <w:color w:val="505052"/>
      <w:kern w:val="0"/>
      <w:sz w:val="16"/>
      <w:szCs w:val="16"/>
    </w:rPr>
  </w:style>
  <w:style w:type="paragraph" w:customStyle="1" w:styleId="datefont">
    <w:name w:val="datefont"/>
    <w:basedOn w:val="a"/>
    <w:rsid w:val="00417752"/>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bottomlink">
    <w:name w:val="bottom_link"/>
    <w:basedOn w:val="a"/>
    <w:rsid w:val="00417752"/>
    <w:pPr>
      <w:widowControl/>
      <w:spacing w:before="100" w:beforeAutospacing="1" w:after="100" w:afterAutospacing="1"/>
      <w:jc w:val="left"/>
    </w:pPr>
    <w:rPr>
      <w:rFonts w:ascii="宋体" w:eastAsia="宋体" w:hAnsi="宋体" w:cs="宋体"/>
      <w:color w:val="FFFFFF"/>
      <w:kern w:val="0"/>
      <w:sz w:val="24"/>
      <w:szCs w:val="24"/>
    </w:rPr>
  </w:style>
  <w:style w:type="paragraph" w:customStyle="1" w:styleId="bottom">
    <w:name w:val="bottom"/>
    <w:basedOn w:val="a"/>
    <w:rsid w:val="00417752"/>
    <w:pPr>
      <w:widowControl/>
      <w:spacing w:before="100" w:beforeAutospacing="1" w:after="100" w:afterAutospacing="1" w:line="299" w:lineRule="atLeast"/>
      <w:jc w:val="left"/>
    </w:pPr>
    <w:rPr>
      <w:rFonts w:ascii="宋体" w:eastAsia="宋体" w:hAnsi="宋体" w:cs="宋体"/>
      <w:kern w:val="0"/>
      <w:sz w:val="24"/>
      <w:szCs w:val="24"/>
    </w:rPr>
  </w:style>
  <w:style w:type="paragraph" w:customStyle="1" w:styleId="pr36">
    <w:name w:val="p_r_36"/>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mb16">
    <w:name w:val="m_b_16"/>
    <w:basedOn w:val="a"/>
    <w:rsid w:val="00417752"/>
    <w:pPr>
      <w:widowControl/>
      <w:spacing w:before="100" w:beforeAutospacing="1" w:after="217"/>
      <w:jc w:val="left"/>
    </w:pPr>
    <w:rPr>
      <w:rFonts w:ascii="宋体" w:eastAsia="宋体" w:hAnsi="宋体" w:cs="宋体"/>
      <w:kern w:val="0"/>
      <w:sz w:val="24"/>
      <w:szCs w:val="24"/>
    </w:rPr>
  </w:style>
  <w:style w:type="paragraph" w:customStyle="1" w:styleId="mb12">
    <w:name w:val="m_b_12"/>
    <w:basedOn w:val="a"/>
    <w:rsid w:val="00417752"/>
    <w:pPr>
      <w:widowControl/>
      <w:spacing w:before="100" w:beforeAutospacing="1" w:after="163"/>
      <w:jc w:val="left"/>
    </w:pPr>
    <w:rPr>
      <w:rFonts w:ascii="宋体" w:eastAsia="宋体" w:hAnsi="宋体" w:cs="宋体"/>
      <w:kern w:val="0"/>
      <w:sz w:val="24"/>
      <w:szCs w:val="24"/>
    </w:rPr>
  </w:style>
  <w:style w:type="paragraph" w:customStyle="1" w:styleId="mtb5">
    <w:name w:val="m_tb_5"/>
    <w:basedOn w:val="a"/>
    <w:rsid w:val="00417752"/>
    <w:pPr>
      <w:widowControl/>
      <w:spacing w:before="68" w:after="68"/>
      <w:jc w:val="left"/>
    </w:pPr>
    <w:rPr>
      <w:rFonts w:ascii="宋体" w:eastAsia="宋体" w:hAnsi="宋体" w:cs="宋体"/>
      <w:kern w:val="0"/>
      <w:sz w:val="24"/>
      <w:szCs w:val="24"/>
    </w:rPr>
  </w:style>
  <w:style w:type="paragraph" w:customStyle="1" w:styleId="mb5">
    <w:name w:val="m_b_5"/>
    <w:basedOn w:val="a"/>
    <w:rsid w:val="00417752"/>
    <w:pPr>
      <w:widowControl/>
      <w:spacing w:before="100" w:beforeAutospacing="1" w:after="68"/>
      <w:jc w:val="left"/>
    </w:pPr>
    <w:rPr>
      <w:rFonts w:ascii="宋体" w:eastAsia="宋体" w:hAnsi="宋体" w:cs="宋体"/>
      <w:kern w:val="0"/>
      <w:sz w:val="24"/>
      <w:szCs w:val="24"/>
    </w:rPr>
  </w:style>
  <w:style w:type="paragraph" w:customStyle="1" w:styleId="ml5">
    <w:name w:val="m_l_5"/>
    <w:basedOn w:val="a"/>
    <w:rsid w:val="00417752"/>
    <w:pPr>
      <w:widowControl/>
      <w:spacing w:before="100" w:beforeAutospacing="1" w:after="100" w:afterAutospacing="1"/>
      <w:ind w:left="68"/>
      <w:jc w:val="left"/>
    </w:pPr>
    <w:rPr>
      <w:rFonts w:ascii="宋体" w:eastAsia="宋体" w:hAnsi="宋体" w:cs="宋体"/>
      <w:kern w:val="0"/>
      <w:sz w:val="24"/>
      <w:szCs w:val="24"/>
    </w:rPr>
  </w:style>
  <w:style w:type="paragraph" w:customStyle="1" w:styleId="pt12">
    <w:name w:val="p_t_12"/>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pb6">
    <w:name w:val="p_b_6"/>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p6">
    <w:name w:val="p_6"/>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pt10">
    <w:name w:val="p_t_10"/>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ptb12">
    <w:name w:val="p_tb_12"/>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loginbox">
    <w:name w:val="login_box"/>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w130">
    <w:name w:val="w_130"/>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w136">
    <w:name w:val="w_136"/>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td1">
    <w:name w:val="td1"/>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td2">
    <w:name w:val="td2"/>
    <w:basedOn w:val="a"/>
    <w:rsid w:val="00417752"/>
    <w:pPr>
      <w:widowControl/>
      <w:pBdr>
        <w:left w:val="single" w:sz="6" w:space="0" w:color="EBEBEB"/>
        <w:bottom w:val="single" w:sz="6" w:space="0" w:color="EBEBEB"/>
        <w:right w:val="single" w:sz="6" w:space="0" w:color="EBEBEB"/>
      </w:pBdr>
      <w:spacing w:before="100" w:beforeAutospacing="1" w:after="100" w:afterAutospacing="1"/>
      <w:jc w:val="left"/>
    </w:pPr>
    <w:rPr>
      <w:rFonts w:ascii="宋体" w:eastAsia="宋体" w:hAnsi="宋体" w:cs="宋体"/>
      <w:kern w:val="0"/>
      <w:sz w:val="24"/>
      <w:szCs w:val="24"/>
    </w:rPr>
  </w:style>
  <w:style w:type="paragraph" w:customStyle="1" w:styleId="td3">
    <w:name w:val="td3"/>
    <w:basedOn w:val="a"/>
    <w:rsid w:val="00417752"/>
    <w:pPr>
      <w:widowControl/>
      <w:pBdr>
        <w:top w:val="single" w:sz="6" w:space="0" w:color="EBEBEB"/>
        <w:left w:val="single" w:sz="6" w:space="0" w:color="EBEBEB"/>
        <w:bottom w:val="single" w:sz="6" w:space="0" w:color="EBEBEB"/>
        <w:right w:val="single" w:sz="6" w:space="0" w:color="EBEBEB"/>
      </w:pBdr>
      <w:shd w:val="clear" w:color="auto" w:fill="FFFFFF"/>
      <w:spacing w:before="100" w:beforeAutospacing="1" w:after="100" w:afterAutospacing="1"/>
      <w:jc w:val="left"/>
    </w:pPr>
    <w:rPr>
      <w:rFonts w:ascii="宋体" w:eastAsia="宋体" w:hAnsi="宋体" w:cs="宋体"/>
      <w:kern w:val="0"/>
      <w:sz w:val="24"/>
      <w:szCs w:val="24"/>
    </w:rPr>
  </w:style>
  <w:style w:type="paragraph" w:customStyle="1" w:styleId="qyyjbg">
    <w:name w:val="qyyj_bg"/>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sogousuggfeedbackquan">
    <w:name w:val="sogou_sugg_feedbackquan"/>
    <w:basedOn w:val="a"/>
    <w:rsid w:val="00417752"/>
    <w:pPr>
      <w:widowControl/>
      <w:jc w:val="left"/>
    </w:pPr>
    <w:rPr>
      <w:rFonts w:ascii="宋体" w:eastAsia="宋体" w:hAnsi="宋体" w:cs="宋体"/>
      <w:kern w:val="0"/>
      <w:sz w:val="24"/>
      <w:szCs w:val="24"/>
    </w:rPr>
  </w:style>
  <w:style w:type="paragraph" w:customStyle="1" w:styleId="sogoutip">
    <w:name w:val="sogoutip"/>
    <w:basedOn w:val="a"/>
    <w:rsid w:val="00417752"/>
    <w:pPr>
      <w:widowControl/>
      <w:spacing w:before="100" w:beforeAutospacing="1" w:after="100" w:afterAutospacing="1" w:line="245" w:lineRule="atLeast"/>
      <w:jc w:val="left"/>
    </w:pPr>
    <w:rPr>
      <w:rFonts w:ascii="宋体" w:eastAsia="宋体" w:hAnsi="宋体" w:cs="宋体"/>
      <w:color w:val="000000"/>
      <w:kern w:val="0"/>
      <w:sz w:val="18"/>
      <w:szCs w:val="18"/>
    </w:rPr>
  </w:style>
  <w:style w:type="paragraph" w:customStyle="1" w:styleId="sogoubottom">
    <w:name w:val="sogoubottom"/>
    <w:basedOn w:val="a"/>
    <w:rsid w:val="00417752"/>
    <w:pPr>
      <w:widowControl/>
      <w:jc w:val="left"/>
    </w:pPr>
    <w:rPr>
      <w:rFonts w:ascii="宋体" w:eastAsia="宋体" w:hAnsi="宋体" w:cs="宋体"/>
      <w:kern w:val="0"/>
      <w:sz w:val="24"/>
      <w:szCs w:val="24"/>
    </w:rPr>
  </w:style>
  <w:style w:type="paragraph" w:customStyle="1" w:styleId="extoptboxbg">
    <w:name w:val="extoptboxbg"/>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extoptbox">
    <w:name w:val="extoptbox"/>
    <w:basedOn w:val="a"/>
    <w:rsid w:val="00417752"/>
    <w:pPr>
      <w:widowControl/>
      <w:spacing w:before="100" w:beforeAutospacing="1" w:after="100" w:afterAutospacing="1" w:line="299" w:lineRule="atLeast"/>
      <w:jc w:val="left"/>
    </w:pPr>
    <w:rPr>
      <w:rFonts w:ascii="宋体" w:eastAsia="宋体" w:hAnsi="宋体" w:cs="宋体"/>
      <w:kern w:val="0"/>
      <w:sz w:val="16"/>
      <w:szCs w:val="16"/>
    </w:rPr>
  </w:style>
  <w:style w:type="paragraph" w:customStyle="1" w:styleId="extfeedback">
    <w:name w:val="extfeedback"/>
    <w:basedOn w:val="a"/>
    <w:rsid w:val="00417752"/>
    <w:pPr>
      <w:widowControl/>
      <w:pBdr>
        <w:top w:val="single" w:sz="6" w:space="3" w:color="CCCCCC"/>
      </w:pBdr>
      <w:spacing w:before="54" w:after="100" w:afterAutospacing="1"/>
      <w:jc w:val="left"/>
    </w:pPr>
    <w:rPr>
      <w:rFonts w:ascii="宋体" w:eastAsia="宋体" w:hAnsi="宋体" w:cs="宋体"/>
      <w:kern w:val="0"/>
      <w:sz w:val="24"/>
      <w:szCs w:val="24"/>
    </w:rPr>
  </w:style>
  <w:style w:type="paragraph" w:customStyle="1" w:styleId="extnoticebg">
    <w:name w:val="extnoticebg"/>
    <w:basedOn w:val="a"/>
    <w:rsid w:val="00417752"/>
    <w:pPr>
      <w:widowControl/>
      <w:jc w:val="left"/>
    </w:pPr>
    <w:rPr>
      <w:rFonts w:ascii="宋体" w:eastAsia="宋体" w:hAnsi="宋体" w:cs="宋体"/>
      <w:kern w:val="0"/>
      <w:sz w:val="24"/>
      <w:szCs w:val="24"/>
    </w:rPr>
  </w:style>
  <w:style w:type="paragraph" w:customStyle="1" w:styleId="extnotice">
    <w:name w:val="extnotice"/>
    <w:basedOn w:val="a"/>
    <w:rsid w:val="00417752"/>
    <w:pPr>
      <w:widowControl/>
      <w:spacing w:before="100" w:beforeAutospacing="1" w:after="100" w:afterAutospacing="1"/>
      <w:jc w:val="center"/>
    </w:pPr>
    <w:rPr>
      <w:rFonts w:ascii="宋体" w:eastAsia="宋体" w:hAnsi="宋体" w:cs="宋体"/>
      <w:color w:val="000000"/>
      <w:kern w:val="0"/>
      <w:sz w:val="19"/>
      <w:szCs w:val="19"/>
    </w:rPr>
  </w:style>
  <w:style w:type="paragraph" w:customStyle="1" w:styleId="extconfirm">
    <w:name w:val="extconfirm"/>
    <w:basedOn w:val="a"/>
    <w:rsid w:val="00417752"/>
    <w:pPr>
      <w:widowControl/>
      <w:pBdr>
        <w:top w:val="single" w:sz="6" w:space="0" w:color="89B4E1"/>
        <w:left w:val="single" w:sz="6" w:space="0" w:color="89B4E1"/>
        <w:bottom w:val="single" w:sz="6" w:space="0" w:color="89B4E1"/>
        <w:right w:val="single" w:sz="6" w:space="0" w:color="89B4E1"/>
      </w:pBdr>
      <w:spacing w:line="312" w:lineRule="atLeast"/>
      <w:ind w:left="272" w:right="272"/>
      <w:jc w:val="left"/>
    </w:pPr>
    <w:rPr>
      <w:rFonts w:ascii="宋体" w:eastAsia="宋体" w:hAnsi="宋体" w:cs="宋体"/>
      <w:b/>
      <w:bCs/>
      <w:color w:val="515F68"/>
      <w:kern w:val="0"/>
      <w:sz w:val="24"/>
      <w:szCs w:val="24"/>
    </w:rPr>
  </w:style>
  <w:style w:type="paragraph" w:customStyle="1" w:styleId="closenotice">
    <w:name w:val="closenotice"/>
    <w:basedOn w:val="a"/>
    <w:rsid w:val="00417752"/>
    <w:pPr>
      <w:widowControl/>
      <w:pBdr>
        <w:top w:val="single" w:sz="6" w:space="0" w:color="B1CBE8"/>
        <w:left w:val="single" w:sz="6" w:space="0" w:color="B1CBE8"/>
        <w:bottom w:val="single" w:sz="6" w:space="0" w:color="B1CBE8"/>
        <w:right w:val="single" w:sz="6" w:space="0" w:color="B1CBE8"/>
      </w:pBdr>
      <w:shd w:val="clear" w:color="auto" w:fill="FFFFFF"/>
      <w:spacing w:before="100" w:beforeAutospacing="1" w:after="100" w:afterAutospacing="1" w:line="24000" w:lineRule="atLeast"/>
      <w:jc w:val="left"/>
    </w:pPr>
    <w:rPr>
      <w:rFonts w:ascii="宋体" w:eastAsia="宋体" w:hAnsi="宋体" w:cs="宋体"/>
      <w:kern w:val="0"/>
      <w:sz w:val="24"/>
      <w:szCs w:val="24"/>
    </w:rPr>
  </w:style>
  <w:style w:type="paragraph" w:customStyle="1" w:styleId="extoverlaymacffbghack">
    <w:name w:val="ext_overlaymacffbghack"/>
    <w:basedOn w:val="a"/>
    <w:rsid w:val="00417752"/>
    <w:pPr>
      <w:widowControl/>
      <w:spacing w:before="100" w:beforeAutospacing="1" w:after="100" w:afterAutospacing="1"/>
      <w:jc w:val="left"/>
    </w:pPr>
    <w:rPr>
      <w:rFonts w:ascii="宋体" w:eastAsia="宋体" w:hAnsi="宋体" w:cs="宋体"/>
      <w:kern w:val="0"/>
      <w:sz w:val="24"/>
      <w:szCs w:val="24"/>
    </w:rPr>
  </w:style>
  <w:style w:type="paragraph" w:customStyle="1" w:styleId="extoverlaybg">
    <w:name w:val="ext_overlaybg"/>
    <w:basedOn w:val="a"/>
    <w:rsid w:val="00417752"/>
    <w:pPr>
      <w:widowControl/>
      <w:shd w:val="clear" w:color="auto" w:fill="000000"/>
      <w:spacing w:before="100" w:beforeAutospacing="1" w:after="100" w:afterAutospacing="1"/>
      <w:jc w:val="left"/>
    </w:pPr>
    <w:rPr>
      <w:rFonts w:ascii="宋体" w:eastAsia="宋体" w:hAnsi="宋体" w:cs="宋体"/>
      <w:kern w:val="0"/>
      <w:sz w:val="24"/>
      <w:szCs w:val="24"/>
    </w:rPr>
  </w:style>
  <w:style w:type="paragraph" w:customStyle="1" w:styleId="rec-config-pop">
    <w:name w:val="rec-config-pop"/>
    <w:basedOn w:val="a"/>
    <w:rsid w:val="00417752"/>
    <w:pPr>
      <w:widowControl/>
      <w:pBdr>
        <w:top w:val="single" w:sz="6" w:space="0" w:color="DADADA"/>
        <w:left w:val="single" w:sz="6" w:space="0" w:color="DADADA"/>
        <w:bottom w:val="single" w:sz="6" w:space="0" w:color="B6B6B6"/>
        <w:right w:val="single" w:sz="6" w:space="0" w:color="DADADA"/>
      </w:pBdr>
      <w:shd w:val="clear" w:color="auto" w:fill="FFFFFF"/>
      <w:spacing w:before="100" w:beforeAutospacing="1" w:after="100" w:afterAutospacing="1"/>
      <w:jc w:val="left"/>
    </w:pPr>
    <w:rPr>
      <w:rFonts w:ascii="宋体" w:eastAsia="宋体" w:hAnsi="宋体" w:cs="宋体"/>
      <w:color w:val="2383E7"/>
      <w:kern w:val="0"/>
      <w:sz w:val="16"/>
      <w:szCs w:val="16"/>
    </w:rPr>
  </w:style>
  <w:style w:type="paragraph" w:customStyle="1" w:styleId="rec-config-pop1">
    <w:name w:val="rec-config-pop1"/>
    <w:basedOn w:val="a"/>
    <w:rsid w:val="00417752"/>
    <w:pPr>
      <w:widowControl/>
      <w:pBdr>
        <w:top w:val="single" w:sz="6" w:space="0" w:color="DADADA"/>
        <w:left w:val="single" w:sz="6" w:space="0" w:color="DADADA"/>
        <w:bottom w:val="single" w:sz="6" w:space="0" w:color="B6B6B6"/>
        <w:right w:val="single" w:sz="6" w:space="0" w:color="DADADA"/>
      </w:pBdr>
      <w:shd w:val="clear" w:color="auto" w:fill="FFFFFF"/>
      <w:spacing w:before="100" w:beforeAutospacing="1" w:after="100" w:afterAutospacing="1"/>
      <w:jc w:val="left"/>
    </w:pPr>
    <w:rPr>
      <w:rFonts w:ascii="宋体" w:eastAsia="宋体" w:hAnsi="宋体" w:cs="宋体"/>
      <w:color w:val="686868"/>
      <w:kern w:val="0"/>
      <w:sz w:val="16"/>
      <w:szCs w:val="16"/>
    </w:rPr>
  </w:style>
  <w:style w:type="paragraph" w:customStyle="1" w:styleId="rec-blue">
    <w:name w:val="rec-blue"/>
    <w:basedOn w:val="a"/>
    <w:rsid w:val="00417752"/>
    <w:pPr>
      <w:widowControl/>
      <w:spacing w:before="100" w:beforeAutospacing="1" w:after="100" w:afterAutospacing="1"/>
      <w:jc w:val="left"/>
    </w:pPr>
    <w:rPr>
      <w:rFonts w:ascii="宋体" w:eastAsia="宋体" w:hAnsi="宋体" w:cs="宋体"/>
      <w:color w:val="2383E7"/>
      <w:kern w:val="0"/>
      <w:sz w:val="24"/>
      <w:szCs w:val="24"/>
    </w:rPr>
  </w:style>
  <w:style w:type="paragraph" w:customStyle="1" w:styleId="rec-config-pop6">
    <w:name w:val="rec-config-pop6"/>
    <w:basedOn w:val="a"/>
    <w:rsid w:val="00417752"/>
    <w:pPr>
      <w:widowControl/>
      <w:pBdr>
        <w:top w:val="single" w:sz="6" w:space="0" w:color="DADADA"/>
        <w:left w:val="single" w:sz="6" w:space="0" w:color="DADADA"/>
        <w:bottom w:val="single" w:sz="6" w:space="0" w:color="B6B6B6"/>
        <w:right w:val="single" w:sz="6" w:space="0" w:color="DADADA"/>
      </w:pBdr>
      <w:shd w:val="clear" w:color="auto" w:fill="FFFFFF"/>
      <w:spacing w:before="100" w:beforeAutospacing="1" w:after="100" w:afterAutospacing="1"/>
      <w:jc w:val="left"/>
    </w:pPr>
    <w:rPr>
      <w:rFonts w:ascii="宋体" w:eastAsia="宋体" w:hAnsi="宋体" w:cs="宋体"/>
      <w:color w:val="686868"/>
      <w:kern w:val="0"/>
      <w:sz w:val="16"/>
      <w:szCs w:val="16"/>
    </w:rPr>
  </w:style>
  <w:style w:type="paragraph" w:customStyle="1" w:styleId="rec-config-option">
    <w:name w:val="rec-config-option"/>
    <w:basedOn w:val="a"/>
    <w:rsid w:val="00417752"/>
    <w:pPr>
      <w:widowControl/>
      <w:pBdr>
        <w:bottom w:val="dashed" w:sz="6" w:space="2" w:color="D9D9D9"/>
      </w:pBdr>
      <w:spacing w:line="299" w:lineRule="atLeast"/>
      <w:ind w:left="408" w:right="136"/>
      <w:jc w:val="left"/>
    </w:pPr>
    <w:rPr>
      <w:rFonts w:ascii="宋体" w:eastAsia="宋体" w:hAnsi="宋体" w:cs="宋体"/>
      <w:kern w:val="0"/>
      <w:sz w:val="24"/>
      <w:szCs w:val="24"/>
    </w:rPr>
  </w:style>
  <w:style w:type="paragraph" w:customStyle="1" w:styleId="rec-feedback">
    <w:name w:val="rec-feedback"/>
    <w:basedOn w:val="a"/>
    <w:rsid w:val="00417752"/>
    <w:pPr>
      <w:widowControl/>
      <w:spacing w:before="136" w:line="190" w:lineRule="atLeast"/>
      <w:ind w:left="204"/>
      <w:jc w:val="left"/>
    </w:pPr>
    <w:rPr>
      <w:rFonts w:ascii="宋体" w:eastAsia="宋体" w:hAnsi="宋体" w:cs="宋体"/>
      <w:b/>
      <w:bCs/>
      <w:color w:val="686868"/>
      <w:kern w:val="0"/>
      <w:sz w:val="24"/>
      <w:szCs w:val="24"/>
    </w:rPr>
  </w:style>
  <w:style w:type="paragraph" w:customStyle="1" w:styleId="sogousuggfeedbackquan1">
    <w:name w:val="sogou_sugg_feedbackquan1"/>
    <w:basedOn w:val="a"/>
    <w:rsid w:val="00417752"/>
    <w:pPr>
      <w:widowControl/>
      <w:jc w:val="left"/>
    </w:pPr>
    <w:rPr>
      <w:rFonts w:ascii="宋体" w:eastAsia="宋体" w:hAnsi="宋体" w:cs="宋体"/>
      <w:kern w:val="0"/>
      <w:sz w:val="24"/>
      <w:szCs w:val="24"/>
    </w:rPr>
  </w:style>
  <w:style w:type="paragraph" w:customStyle="1" w:styleId="sogoutip1">
    <w:name w:val="sogoutip1"/>
    <w:basedOn w:val="a"/>
    <w:rsid w:val="00417752"/>
    <w:pPr>
      <w:widowControl/>
      <w:spacing w:before="100" w:beforeAutospacing="1" w:after="100" w:afterAutospacing="1" w:line="245" w:lineRule="atLeast"/>
      <w:jc w:val="left"/>
    </w:pPr>
    <w:rPr>
      <w:rFonts w:ascii="宋体" w:eastAsia="宋体" w:hAnsi="宋体" w:cs="宋体"/>
      <w:color w:val="000000"/>
      <w:kern w:val="0"/>
      <w:sz w:val="18"/>
      <w:szCs w:val="18"/>
    </w:rPr>
  </w:style>
</w:styles>
</file>

<file path=word/webSettings.xml><?xml version="1.0" encoding="utf-8"?>
<w:webSettings xmlns:r="http://schemas.openxmlformats.org/officeDocument/2006/relationships" xmlns:w="http://schemas.openxmlformats.org/wordprocessingml/2006/main">
  <w:divs>
    <w:div w:id="2080596098">
      <w:bodyDiv w:val="1"/>
      <w:marLeft w:val="0"/>
      <w:marRight w:val="0"/>
      <w:marTop w:val="0"/>
      <w:marBottom w:val="0"/>
      <w:divBdr>
        <w:top w:val="none" w:sz="0" w:space="0" w:color="auto"/>
        <w:left w:val="none" w:sz="0" w:space="0" w:color="auto"/>
        <w:bottom w:val="none" w:sz="0" w:space="0" w:color="auto"/>
        <w:right w:val="none" w:sz="0" w:space="0" w:color="auto"/>
      </w:divBdr>
      <w:divsChild>
        <w:div w:id="70000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ernfund.com/admin/html/htmleditor/editor.jsp" TargetMode="External"/><Relationship Id="rId13" Type="http://schemas.openxmlformats.org/officeDocument/2006/relationships/hyperlink" Target="http://www.southernfund.com/admin/html/htmleditor/editor.jsp" TargetMode="External"/><Relationship Id="rId18" Type="http://schemas.openxmlformats.org/officeDocument/2006/relationships/hyperlink" Target="http://www.southernfund.com/admin/html/htmleditor/editor.jsp" TargetMode="External"/><Relationship Id="rId26" Type="http://schemas.openxmlformats.org/officeDocument/2006/relationships/hyperlink" Target="http://www.southernfund.com/admin/html/htmleditor/editor.jsp" TargetMode="External"/><Relationship Id="rId3" Type="http://schemas.openxmlformats.org/officeDocument/2006/relationships/webSettings" Target="webSettings.xml"/><Relationship Id="rId21" Type="http://schemas.openxmlformats.org/officeDocument/2006/relationships/hyperlink" Target="http://www.southernfund.com/admin/html/htmleditor/editor.jsp" TargetMode="External"/><Relationship Id="rId34" Type="http://schemas.openxmlformats.org/officeDocument/2006/relationships/hyperlink" Target="http://www.nffund.com/nanfang/" TargetMode="External"/><Relationship Id="rId7" Type="http://schemas.openxmlformats.org/officeDocument/2006/relationships/hyperlink" Target="http://www.southernfund.com/admin/html/htmleditor/editor.jsp" TargetMode="External"/><Relationship Id="rId12" Type="http://schemas.openxmlformats.org/officeDocument/2006/relationships/hyperlink" Target="http://www.southernfund.com/admin/html/htmleditor/editor.jsp" TargetMode="External"/><Relationship Id="rId17" Type="http://schemas.openxmlformats.org/officeDocument/2006/relationships/hyperlink" Target="http://www.southernfund.com/admin/html/htmleditor/editor.jsp" TargetMode="External"/><Relationship Id="rId25" Type="http://schemas.openxmlformats.org/officeDocument/2006/relationships/hyperlink" Target="http://www.southernfund.com/admin/html/htmleditor/editor.jsp" TargetMode="External"/><Relationship Id="rId33" Type="http://schemas.openxmlformats.org/officeDocument/2006/relationships/hyperlink" Target="mailto:&#23458;&#26381;&#37038;&#31665;&#65288;service@nffund.com"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southernfund.com/admin/html/htmleditor/editor.jsp" TargetMode="External"/><Relationship Id="rId20" Type="http://schemas.openxmlformats.org/officeDocument/2006/relationships/hyperlink" Target="http://www.southernfund.com/admin/html/htmleditor/editor.jsp" TargetMode="External"/><Relationship Id="rId29" Type="http://schemas.openxmlformats.org/officeDocument/2006/relationships/hyperlink" Target="http://www.95599.cn/" TargetMode="External"/><Relationship Id="rId1" Type="http://schemas.openxmlformats.org/officeDocument/2006/relationships/styles" Target="styles.xml"/><Relationship Id="rId6" Type="http://schemas.openxmlformats.org/officeDocument/2006/relationships/hyperlink" Target="http://www.southernfund.com/admin/html/htmleditor/editor.jsp" TargetMode="External"/><Relationship Id="rId11" Type="http://schemas.openxmlformats.org/officeDocument/2006/relationships/hyperlink" Target="http://www.southernfund.com/admin/html/htmleditor/editor.jsp" TargetMode="External"/><Relationship Id="rId24" Type="http://schemas.openxmlformats.org/officeDocument/2006/relationships/hyperlink" Target="http://www.southernfund.com/admin/html/htmleditor/editor.jsp" TargetMode="External"/><Relationship Id="rId32" Type="http://schemas.openxmlformats.org/officeDocument/2006/relationships/hyperlink" Target="http://www.nffund.com/nanfang/"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southernfund.com/admin/html/htmleditor/editor.jsp" TargetMode="External"/><Relationship Id="rId23" Type="http://schemas.openxmlformats.org/officeDocument/2006/relationships/hyperlink" Target="http://www.southernfund.com/admin/html/htmleditor/editor.jsp" TargetMode="External"/><Relationship Id="rId28" Type="http://schemas.openxmlformats.org/officeDocument/2006/relationships/hyperlink" Target="http://www.southernfund.com/admin/html/htmleditor/editor.jsp" TargetMode="External"/><Relationship Id="rId36" Type="http://schemas.openxmlformats.org/officeDocument/2006/relationships/hyperlink" Target="http://www.nffund.com/nanfang/" TargetMode="External"/><Relationship Id="rId10" Type="http://schemas.openxmlformats.org/officeDocument/2006/relationships/hyperlink" Target="http://www.southernfund.com/admin/html/htmleditor/editor.jsp" TargetMode="External"/><Relationship Id="rId19" Type="http://schemas.openxmlformats.org/officeDocument/2006/relationships/hyperlink" Target="http://www.southernfund.com/admin/html/htmleditor/editor.jsp" TargetMode="External"/><Relationship Id="rId31" Type="http://schemas.openxmlformats.org/officeDocument/2006/relationships/hyperlink" Target="mailto:&#23458;&#26381;&#37038;&#31665;&#65288;service@nffund.com" TargetMode="External"/><Relationship Id="rId4" Type="http://schemas.openxmlformats.org/officeDocument/2006/relationships/footnotes" Target="footnotes.xml"/><Relationship Id="rId9" Type="http://schemas.openxmlformats.org/officeDocument/2006/relationships/hyperlink" Target="http://www.southernfund.com/admin/html/htmleditor/editor.jsp" TargetMode="External"/><Relationship Id="rId14" Type="http://schemas.openxmlformats.org/officeDocument/2006/relationships/hyperlink" Target="http://www.southernfund.com/admin/html/htmleditor/editor.jsp" TargetMode="External"/><Relationship Id="rId22" Type="http://schemas.openxmlformats.org/officeDocument/2006/relationships/hyperlink" Target="http://www.southernfund.com/admin/html/htmleditor/editor.jsp" TargetMode="External"/><Relationship Id="rId27" Type="http://schemas.openxmlformats.org/officeDocument/2006/relationships/hyperlink" Target="http://www.southernfund.com/admin/html/htmleditor/editor.jsp" TargetMode="External"/><Relationship Id="rId30" Type="http://schemas.openxmlformats.org/officeDocument/2006/relationships/hyperlink" Target="http://www.boc.cn/" TargetMode="External"/><Relationship Id="rId35" Type="http://schemas.openxmlformats.org/officeDocument/2006/relationships/hyperlink" Target="mailto:&#21457;&#36865;&#37038;&#20214;&#33267;&#22522;&#37329;&#31649;&#29702;&#20154;&#23458;&#26381;&#37038;&#31665;service@nffun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94</Pages>
  <Words>11418</Words>
  <Characters>65085</Characters>
  <Application>Microsoft Office Word</Application>
  <DocSecurity>0</DocSecurity>
  <Lines>542</Lines>
  <Paragraphs>152</Paragraphs>
  <ScaleCrop>false</ScaleCrop>
  <Company>wind</Company>
  <LinksUpToDate>false</LinksUpToDate>
  <CharactersWithSpaces>76351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qli.liliana</dc:creator>
  <cp:lastModifiedBy>JZBANK</cp:lastModifiedBy>
  <cp:revision>2</cp:revision>
  <dcterms:created xsi:type="dcterms:W3CDTF">2016-07-04T10:15:00Z</dcterms:created>
  <dcterms:modified xsi:type="dcterms:W3CDTF">2016-07-04T10:15:00Z</dcterms:modified>
</cp:coreProperties>
</file>